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18"/>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项目编号：JSZC-321200-JWZB-C2026-0003</w:t>
      </w:r>
      <w:r>
        <w:rPr>
          <w:rFonts w:hint="eastAsia" w:ascii="宋体" w:hAnsi="宋体" w:cs="宋体"/>
          <w:b/>
          <w:bCs/>
          <w:color w:val="auto"/>
          <w:sz w:val="32"/>
          <w:szCs w:val="32"/>
          <w:highlight w:val="none"/>
          <w:lang w:val="en-US" w:eastAsia="zh-CN"/>
        </w:rPr>
        <w:t xml:space="preserve"> </w:t>
      </w:r>
      <w:r/>
    </w:p>
    <w:p>
      <w:pPr>
        <w:ind w:firstLine="643"/>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泰州市中医院电脑打印机维保服务</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泰州市中医院</w:t>
      </w:r>
      <w:r/>
    </w:p>
    <w:p>
      <w:pPr>
        <w:jc w:val="center"/>
        <w:spacing w:before="120" w:after="120" w:line="36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江苏经纬工程投资造价咨询事务所有限公司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notePr/>
          <w:endnotePr/>
          <w:type w:val="continuous"/>
          <w:pgSz w:w="11906" w:h="16839" w:orient="portrait"/>
          <w:pgMar w:top="1429" w:right="1633" w:bottom="1440" w:left="1582" w:header="0" w:footer="0" w:gutter="0"/>
          <w:cols w:num="1" w:sep="0" w:space="1701"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523127445"/>
      <w:r/>
      <w:bookmarkEnd w:id="3"/>
      <w:r/>
      <w:bookmarkStart w:id="4" w:name="_Toc16938516"/>
      <w:r/>
      <w:bookmarkEnd w:id="4"/>
      <w:r/>
      <w:bookmarkStart w:id="5" w:name="_Toc120614210"/>
      <w:r/>
      <w:bookmarkEnd w:id="5"/>
      <w:r/>
      <w:bookmarkStart w:id="6" w:name="_Toc479757206"/>
      <w:r/>
      <w:bookmarkEnd w:id="6"/>
      <w:r/>
      <w:bookmarkStart w:id="7" w:name="_Toc513029200"/>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w:instrText>
      </w:r>
      <w:r>
        <w:rPr>
          <w:rFonts w:hint="eastAsia" w:ascii="宋体" w:hAnsi="宋体" w:eastAsia="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19"/>
        <w:spacing w:line="600" w:lineRule="exact"/>
        <w:tabs>
          <w:tab w:val="right" w:pos="8691"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919"/>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fldChar w:fldCharType="end"/>
      </w:r>
      <w:r/>
    </w:p>
    <w:p>
      <w:pPr>
        <w:pStyle w:val="919"/>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3</w:t>
      </w:r>
      <w:r/>
    </w:p>
    <w:p>
      <w:pPr>
        <w:pStyle w:val="919"/>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5</w:t>
      </w:r>
      <w:r/>
    </w:p>
    <w:p>
      <w:pPr>
        <w:pStyle w:val="919"/>
        <w:spacing w:line="600" w:lineRule="exact"/>
        <w:tabs>
          <w:tab w:val="right" w:pos="8691" w:leader="dot"/>
        </w:tabs>
        <w:rPr>
          <w:rFonts w:hint="default" w:ascii="宋体" w:hAnsi="宋体" w:eastAsia="宋体" w:cs="宋体"/>
          <w:color w:val="auto"/>
          <w:sz w:val="28"/>
          <w:szCs w:val="28"/>
          <w:highlight w:val="none"/>
          <w:lang w:val="en-US"/>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fldChar w:fldCharType="end"/>
      </w:r>
      <w:r>
        <w:rPr>
          <w:rFonts w:hint="eastAsia" w:ascii="宋体" w:hAnsi="宋体" w:cs="宋体"/>
          <w:color w:val="auto"/>
          <w:sz w:val="28"/>
          <w:szCs w:val="28"/>
          <w:highlight w:val="none"/>
          <w:lang w:val="en-US" w:eastAsia="zh-CN"/>
        </w:rPr>
        <w:t xml:space="preserve">0</w:t>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1701"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pageBreakBefore w:val="0"/>
        <w:spacing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pageBreakBefore w:val="0"/>
        <w:spacing w:line="46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泰州市中医院电脑打印机维保服务</w:t>
      </w:r>
      <w:r>
        <w:rPr>
          <w:rFonts w:hint="eastAsia" w:ascii="宋体" w:hAnsi="宋体" w:eastAsia="宋体" w:cs="宋体"/>
          <w:color w:val="auto"/>
          <w:sz w:val="24"/>
          <w:szCs w:val="24"/>
          <w:highlight w:val="none"/>
          <w:u w:val="single"/>
        </w:rPr>
        <w:t xml:space="preserve"> 的</w:t>
      </w:r>
      <w:r>
        <w:rPr>
          <w:rFonts w:hint="eastAsia" w:ascii="宋体" w:hAnsi="宋体" w:eastAsia="宋体" w:cs="宋体"/>
          <w:color w:val="auto"/>
          <w:sz w:val="24"/>
          <w:szCs w:val="24"/>
          <w:highlight w:val="none"/>
        </w:rPr>
        <w:t xml:space="preserve">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  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rPr>
        <w:t xml:space="preserve">北京时间）前递交响应文件。</w:t>
      </w:r>
      <w:r/>
    </w:p>
    <w:p>
      <w:pPr>
        <w:ind w:firstLine="482"/>
        <w:keepLines/>
        <w:keepNext/>
        <w:pageBreakBefore w:val="0"/>
        <w:spacing w:line="460" w:lineRule="exact"/>
        <w:rPr>
          <w:rFonts w:hint="eastAsia" w:ascii="宋体" w:hAnsi="宋体" w:eastAsia="宋体" w:cs="宋体"/>
          <w:color w:val="auto"/>
          <w:sz w:val="24"/>
          <w:szCs w:val="24"/>
          <w:highlight w:val="none"/>
        </w:rPr>
      </w:pPr>
      <w:r/>
      <w:bookmarkStart w:id="10" w:name="_Toc35393621"/>
      <w:r/>
      <w:bookmarkEnd w:id="10"/>
      <w:r/>
      <w:bookmarkStart w:id="11" w:name="_Toc38985263"/>
      <w:r/>
      <w:bookmarkEnd w:id="11"/>
      <w:r/>
      <w:bookmarkStart w:id="12" w:name="_Toc28359079"/>
      <w:r/>
      <w:bookmarkEnd w:id="12"/>
      <w:r/>
      <w:bookmarkStart w:id="13" w:name="_Toc35393790"/>
      <w:r/>
      <w:bookmarkEnd w:id="13"/>
      <w:r/>
      <w:bookmarkStart w:id="14" w:name="_Toc28359002"/>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1.项目编号：JSZC-321200-JWZB-C2026-0003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泰州市中医院电脑打印机维保服务</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159</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（三年）</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159</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，各供应商投标报价不得高于最高限价，否则作无效响应文件处理。</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szCs w:val="24"/>
          <w:highlight w:val="none"/>
          <w:lang w:val="en-US" w:eastAsia="zh-CN"/>
        </w:rPr>
        <w:t xml:space="preserve">泰州市中医院电脑打印机维保服务</w:t>
      </w:r>
      <w:r>
        <w:rPr>
          <w:rFonts w:hint="eastAsia" w:ascii="宋体" w:hAnsi="宋体" w:eastAsia="宋体" w:cs="宋体"/>
          <w:color w:val="auto"/>
          <w:sz w:val="24"/>
          <w:szCs w:val="24"/>
          <w:highlight w:val="none"/>
          <w:u w:val="none"/>
          <w:lang w:val="en-US" w:eastAsia="zh-CN"/>
        </w:rPr>
        <w:t xml:space="preserve">，具体要求详见磋商文件。</w:t>
      </w:r>
      <w:r/>
    </w:p>
    <w:p>
      <w:pPr>
        <w:ind w:firstLine="480"/>
        <w:pageBreakBefore w:val="0"/>
        <w:spacing w:line="46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6.合同履</w:t>
      </w:r>
      <w:r>
        <w:rPr>
          <w:rFonts w:hint="eastAsia" w:ascii="宋体" w:hAnsi="宋体" w:eastAsia="宋体" w:cs="宋体"/>
          <w:color w:val="auto"/>
          <w:sz w:val="24"/>
          <w:szCs w:val="24"/>
          <w:highlight w:val="none"/>
          <w:u w:val="none"/>
          <w:lang w:val="en-US" w:eastAsia="zh-CN"/>
        </w:rPr>
        <w:t xml:space="preserve">行期限：三年。</w:t>
      </w:r>
      <w:r/>
    </w:p>
    <w:p>
      <w:pPr>
        <w:ind w:firstLine="480"/>
        <w:pageBreakBefore w:val="0"/>
        <w:spacing w:line="46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7.本项目不接受联合体。</w:t>
      </w:r>
      <w:bookmarkStart w:id="16" w:name="_Toc35393622"/>
      <w:r/>
      <w:bookmarkEnd w:id="16"/>
      <w:r/>
      <w:bookmarkStart w:id="17" w:name="_Toc35393791"/>
      <w:r/>
      <w:bookmarkEnd w:id="17"/>
      <w:r/>
      <w:bookmarkStart w:id="18" w:name="_Toc28359003"/>
      <w:r/>
      <w:bookmarkEnd w:id="18"/>
      <w:r/>
      <w:bookmarkStart w:id="19" w:name="_Toc28359080"/>
      <w:r/>
      <w:bookmarkEnd w:id="19"/>
      <w:r/>
      <w:bookmarkStart w:id="20" w:name="_Toc38985264"/>
      <w:r/>
      <w:r/>
    </w:p>
    <w:p>
      <w:pPr>
        <w:ind w:firstLine="482"/>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623"/>
      <w:r/>
      <w:bookmarkEnd w:id="21"/>
      <w:r/>
      <w:bookmarkStart w:id="22" w:name="_Toc28359004"/>
      <w:r/>
      <w:bookmarkEnd w:id="22"/>
      <w:r/>
      <w:bookmarkStart w:id="23" w:name="_Toc35393792"/>
      <w:r/>
      <w:bookmarkEnd w:id="23"/>
      <w:r/>
      <w:bookmarkStart w:id="24" w:name="_Toc28359081"/>
      <w:r/>
      <w:bookmarkEnd w:id="24"/>
      <w:r/>
      <w:r/>
    </w:p>
    <w:p>
      <w:pPr>
        <w:ind w:firstLine="480"/>
        <w:pageBreakBefore w:val="0"/>
        <w:spacing w:line="460" w:lineRule="exact"/>
        <w:tabs>
          <w:tab w:val="left" w:pos="4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（二）落实政府采购政策需满足的资格要求：本项目属于专门面向中小企业采购的项目，供应商应为中小微企业、监狱企业、残疾人福利性单位之一。</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cs="宋体"/>
          <w:color w:val="auto"/>
          <w:sz w:val="24"/>
          <w:szCs w:val="24"/>
          <w:highlight w:val="none"/>
          <w:lang w:eastAsia="zh-CN"/>
        </w:rPr>
        <w:t xml:space="preserve">无</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2"/>
        <w:keepLines/>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pageBreakBefore w:val="0"/>
        <w:spacing w:line="460" w:lineRule="exact"/>
        <w:rPr>
          <w:rFonts w:hint="eastAsia" w:ascii="宋体" w:hAnsi="宋体" w:eastAsia="宋体" w:cs="宋体"/>
          <w:color w:val="auto"/>
          <w:sz w:val="24"/>
          <w:szCs w:val="24"/>
          <w:highlight w:val="none"/>
        </w:rPr>
      </w:pPr>
      <w:r/>
      <w:bookmarkStart w:id="25" w:name="_Toc28359005"/>
      <w:r/>
      <w:bookmarkEnd w:id="25"/>
      <w:r/>
      <w:bookmarkStart w:id="26" w:name="_Toc35393624"/>
      <w:r/>
      <w:bookmarkEnd w:id="26"/>
      <w:r/>
      <w:bookmarkStart w:id="27" w:name="_Toc28359082"/>
      <w:r/>
      <w:bookmarkEnd w:id="27"/>
      <w:r/>
      <w:bookmarkStart w:id="28" w:name="_Toc35393793"/>
      <w:r/>
      <w:bookmarkEnd w:id="28"/>
      <w:r/>
      <w:bookmarkStart w:id="29" w:name="_Toc38985266"/>
      <w:r>
        <w:rPr>
          <w:rFonts w:hint="eastAsia" w:ascii="宋体" w:hAnsi="宋体" w:eastAsia="宋体" w:cs="宋体"/>
          <w:color w:val="auto"/>
          <w:sz w:val="24"/>
          <w:szCs w:val="24"/>
          <w:highlight w:val="none"/>
        </w:rPr>
        <w:t xml:space="preserve">1.时间：</w:t>
      </w:r>
      <w:bookmarkEnd w:id="29"/>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月17</w:t>
      </w:r>
      <w:r>
        <w:rPr>
          <w:rFonts w:hint="eastAsia" w:ascii="宋体" w:hAnsi="宋体" w:eastAsia="宋体" w:cs="宋体"/>
          <w:color w:val="auto"/>
          <w:sz w:val="24"/>
          <w:szCs w:val="24"/>
          <w:highlight w:val="none"/>
          <w:lang w:val="en-US" w:eastAsia="zh-CN"/>
        </w:rPr>
        <w:t xml:space="preserve">日0:00-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2.地点：供应商完成注册并办理CA证书后在“苏采云”系统下载本项目的采购文件</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3.方式：登录“苏采云”系统自行下载</w:t>
      </w:r>
      <w:r/>
    </w:p>
    <w:p>
      <w:pPr>
        <w:ind w:firstLine="480"/>
        <w:keepLines/>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keepLines/>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rPr>
        <w:t xml:space="preserve">（北京时间）。</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2.地点：“苏采云”系统“开标大厅”</w:t>
      </w:r>
      <w:r/>
    </w:p>
    <w:p>
      <w:pPr>
        <w:ind w:firstLine="482"/>
        <w:keepLines/>
        <w:keepNext/>
        <w:pageBreakBefore w:val="0"/>
        <w:spacing w:line="460" w:lineRule="exact"/>
        <w:rPr>
          <w:rFonts w:hint="eastAsia" w:ascii="宋体" w:hAnsi="宋体" w:eastAsia="宋体" w:cs="宋体"/>
          <w:color w:val="auto"/>
          <w:sz w:val="24"/>
          <w:szCs w:val="24"/>
          <w:highlight w:val="none"/>
        </w:rPr>
      </w:pPr>
      <w:r/>
      <w:bookmarkStart w:id="30" w:name="_Toc35393794"/>
      <w:r/>
      <w:bookmarkEnd w:id="30"/>
      <w:r/>
      <w:bookmarkStart w:id="31" w:name="_Toc28359007"/>
      <w:r/>
      <w:bookmarkEnd w:id="31"/>
      <w:r/>
      <w:bookmarkStart w:id="32" w:name="_Toc35393625"/>
      <w:r/>
      <w:bookmarkEnd w:id="32"/>
      <w:r/>
      <w:bookmarkStart w:id="33" w:name="_Toc28359084"/>
      <w:r/>
      <w:bookmarkEnd w:id="33"/>
      <w:r/>
      <w:bookmarkStart w:id="34" w:name="_Toc38985267"/>
      <w:r>
        <w:rPr>
          <w:rFonts w:hint="eastAsia" w:ascii="宋体" w:hAnsi="宋体" w:eastAsia="宋体" w:cs="宋体"/>
          <w:b/>
          <w:bCs/>
          <w:color w:val="auto"/>
          <w:sz w:val="24"/>
          <w:szCs w:val="24"/>
          <w:highlight w:val="none"/>
        </w:rPr>
        <w:t xml:space="preserve">五、公告期限</w:t>
      </w:r>
      <w:bookmarkEnd w:id="34"/>
      <w:r/>
      <w:r/>
    </w:p>
    <w:p>
      <w:pPr>
        <w:ind w:firstLine="480"/>
        <w:pageBreakBefore w:val="0"/>
        <w:spacing w:line="46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keepLines/>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w:t>
      </w:r>
      <w:r>
        <w:rPr>
          <w:rFonts w:hint="eastAsia" w:ascii="宋体" w:hAnsi="宋体" w:eastAsia="宋体" w:cs="宋体"/>
          <w:color w:val="auto"/>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w:t>
      </w:r>
      <w:r>
        <w:rPr>
          <w:rFonts w:hint="eastAsia" w:ascii="宋体" w:hAnsi="宋体" w:cs="宋体"/>
          <w:color w:val="auto"/>
          <w:sz w:val="24"/>
          <w:szCs w:val="24"/>
          <w:highlight w:val="none"/>
          <w:lang w:eastAsia="zh-CN"/>
        </w:rPr>
        <w:t xml:space="preserve">江苏经纬工程投资造价咨询事务所有限公司</w:t>
      </w:r>
      <w:r>
        <w:rPr>
          <w:rFonts w:hint="eastAsia" w:ascii="宋体" w:hAnsi="宋体" w:eastAsia="宋体" w:cs="宋体"/>
          <w:color w:val="auto"/>
          <w:sz w:val="24"/>
          <w:szCs w:val="24"/>
          <w:highlight w:val="none"/>
        </w:rPr>
        <w:t xml:space="preserve">在“江苏政府采购网”发布的更正公告。</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 </w:t>
      </w:r>
      <w:r/>
    </w:p>
    <w:p>
      <w:pPr>
        <w:ind w:firstLine="482"/>
        <w:keepLines/>
        <w:keepNext/>
        <w:pageBreakBefore w:val="0"/>
        <w:spacing w:line="460" w:lineRule="exact"/>
        <w:rPr>
          <w:rFonts w:hint="eastAsia" w:ascii="宋体" w:hAnsi="宋体" w:eastAsia="宋体" w:cs="宋体"/>
          <w:color w:val="auto"/>
          <w:sz w:val="24"/>
          <w:szCs w:val="24"/>
          <w:highlight w:val="none"/>
        </w:rPr>
      </w:pPr>
      <w:r/>
      <w:bookmarkStart w:id="38" w:name="_Toc28359085"/>
      <w:r/>
      <w:bookmarkEnd w:id="38"/>
      <w:r/>
      <w:bookmarkStart w:id="39" w:name="_Toc28359008"/>
      <w:r/>
      <w:bookmarkEnd w:id="39"/>
      <w:r/>
      <w:bookmarkStart w:id="40" w:name="_Toc35393796"/>
      <w:r/>
      <w:bookmarkEnd w:id="40"/>
      <w:r/>
      <w:bookmarkStart w:id="41" w:name="_Toc35393627"/>
      <w:r/>
      <w:bookmarkEnd w:id="41"/>
      <w:r/>
      <w:bookmarkStart w:id="42" w:name="_Toc38985269"/>
      <w:r>
        <w:rPr>
          <w:rFonts w:hint="eastAsia" w:ascii="宋体" w:hAnsi="宋体" w:eastAsia="宋体" w:cs="宋体"/>
          <w:b/>
          <w:bCs/>
          <w:color w:val="auto"/>
          <w:sz w:val="24"/>
          <w:szCs w:val="24"/>
          <w:highlight w:val="none"/>
        </w:rPr>
        <w:t xml:space="preserve">七、本次磋商联系方式</w:t>
      </w:r>
      <w:bookmarkEnd w:id="42"/>
      <w:r/>
      <w:r/>
    </w:p>
    <w:p>
      <w:pPr>
        <w:ind w:firstLine="48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泰州市中医院</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泰州市海陵区济川东路86号‌‌</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陈先生</w:t>
      </w:r>
      <w:r>
        <w:rPr>
          <w:rFonts w:hint="eastAsia" w:ascii="宋体" w:hAnsi="宋体" w:eastAsia="宋体" w:cs="宋体"/>
          <w:color w:val="auto"/>
          <w:sz w:val="24"/>
          <w:szCs w:val="24"/>
          <w:highlight w:val="none"/>
        </w:rPr>
        <w:t xml:space="preserve"> </w:t>
      </w:r>
      <w:r/>
    </w:p>
    <w:p>
      <w:pPr>
        <w:ind w:firstLine="480"/>
        <w:pageBreakBefore w:val="0"/>
        <w:spacing w:line="46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0523-86611399</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江苏经纬工程投资造价咨询事务所有限公司</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泰州市海陵区国际汽车城10栋4楼</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eastAsia="zh-CN"/>
        </w:rPr>
        <w:t xml:space="preserve">杜先生</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bookmarkStart w:id="44" w:name="_Toc28359087"/>
      <w:r>
        <w:rPr>
          <w:rFonts w:hint="eastAsia" w:ascii="宋体" w:hAnsi="宋体" w:cs="宋体"/>
          <w:color w:val="auto"/>
          <w:sz w:val="24"/>
          <w:szCs w:val="24"/>
          <w:highlight w:val="none"/>
          <w:u w:val="single"/>
          <w:lang w:eastAsia="zh-CN"/>
        </w:rPr>
        <w:t xml:space="preserve">0523-86882829</w:t>
      </w:r>
      <w:r>
        <w:rPr>
          <w:rFonts w:hint="eastAsia" w:ascii="宋体" w:hAnsi="宋体" w:eastAsia="宋体" w:cs="宋体"/>
          <w:color w:val="auto"/>
          <w:sz w:val="24"/>
          <w:szCs w:val="24"/>
          <w:highlight w:val="none"/>
          <w:u w:val="single"/>
        </w:rPr>
        <w:t xml:space="preserve"> </w:t>
      </w:r>
      <w:bookmarkEnd w:id="44"/>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pageBreakBefore w:val="0"/>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eastAsia="zh-CN"/>
        </w:rPr>
        <w:t xml:space="preserve">杜先生</w:t>
      </w:r>
      <w:r/>
    </w:p>
    <w:p>
      <w:pPr>
        <w:ind w:firstLine="480"/>
        <w:pageBreakBefore w:val="0"/>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eastAsia="zh-CN"/>
        </w:rPr>
        <w:t xml:space="preserve">0523-86882829</w:t>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0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18"/>
        <w:ind w:firstLine="0"/>
        <w:jc w:val="center"/>
        <w:rPr>
          <w:rFonts w:hint="eastAsia" w:ascii="宋体" w:hAnsi="宋体" w:eastAsia="宋体" w:cs="宋体"/>
          <w:color w:val="auto"/>
          <w:sz w:val="44"/>
          <w:szCs w:val="44"/>
          <w:highlight w:val="none"/>
        </w:rPr>
        <w:outlineLvl w:val="0"/>
      </w:pPr>
      <w:r/>
      <w:bookmarkStart w:id="45" w:name="_Toc120614211"/>
      <w:r/>
      <w:bookmarkStart w:id="46" w:name="_Toc24442"/>
      <w:r>
        <w:rPr>
          <w:rFonts w:hint="eastAsia" w:ascii="宋体" w:hAnsi="宋体" w:eastAsia="宋体" w:cs="宋体"/>
          <w:color w:val="auto"/>
          <w:sz w:val="44"/>
          <w:szCs w:val="44"/>
          <w:highlight w:val="none"/>
        </w:rPr>
        <w:t xml:space="preserve">第二章 </w:t>
      </w:r>
      <w:bookmarkEnd w:id="45"/>
      <w:r>
        <w:rPr>
          <w:rFonts w:hint="eastAsia" w:ascii="宋体" w:hAnsi="宋体" w:eastAsia="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eastAsia="宋体" w:cs="宋体"/>
          <w:color w:val="auto"/>
          <w:sz w:val="24"/>
          <w:szCs w:val="24"/>
          <w:highlight w:val="none"/>
        </w:rPr>
      </w:pPr>
      <w:r/>
      <w:bookmarkStart w:id="47" w:name="_Toc16938519"/>
      <w:r/>
      <w:bookmarkEnd w:id="47"/>
      <w:r/>
      <w:bookmarkStart w:id="48" w:name="_Toc20823275"/>
      <w:r/>
      <w:bookmarkEnd w:id="48"/>
      <w:r/>
      <w:bookmarkStart w:id="49" w:name="_Toc513029203"/>
      <w:r/>
      <w:bookmarkEnd w:id="49"/>
      <w:r/>
      <w:bookmarkStart w:id="50" w:name="_Toc120614214"/>
      <w:r>
        <w:rPr>
          <w:rFonts w:hint="eastAsia" w:ascii="宋体" w:hAnsi="宋体" w:eastAsia="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eastAsia="宋体" w:cs="宋体"/>
          <w:color w:val="auto"/>
          <w:sz w:val="24"/>
          <w:szCs w:val="24"/>
          <w:highlight w:val="none"/>
        </w:rPr>
      </w:pPr>
      <w:r/>
      <w:bookmarkStart w:id="51" w:name="_Toc16938520"/>
      <w:r/>
      <w:bookmarkEnd w:id="51"/>
      <w:r/>
      <w:bookmarkStart w:id="52" w:name="_Hlt16619475"/>
      <w:r/>
      <w:bookmarkEnd w:id="52"/>
      <w:r/>
      <w:bookmarkStart w:id="53" w:name="_Toc458694821"/>
      <w:r/>
      <w:bookmarkEnd w:id="53"/>
      <w:r/>
      <w:bookmarkStart w:id="54" w:name="_Toc513029204"/>
      <w:r/>
      <w:bookmarkEnd w:id="54"/>
      <w:r/>
      <w:bookmarkStart w:id="55" w:name="_Toc20823276"/>
      <w:r>
        <w:rPr>
          <w:rFonts w:hint="eastAsia" w:ascii="宋体" w:hAnsi="宋体" w:eastAsia="宋体" w:cs="宋体"/>
          <w:color w:val="auto"/>
          <w:sz w:val="24"/>
          <w:szCs w:val="24"/>
          <w:highlight w:val="none"/>
        </w:rPr>
        <w:t xml:space="preserve">1</w:t>
      </w:r>
      <w:bookmarkEnd w:id="55"/>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6" w:name="_Toc16938521"/>
      <w:r/>
      <w:bookmarkEnd w:id="56"/>
      <w:r/>
      <w:bookmarkStart w:id="57" w:name="_Toc513029205"/>
      <w:r/>
      <w:bookmarkEnd w:id="57"/>
      <w:r/>
      <w:bookmarkStart w:id="58" w:name="_Toc20823277"/>
      <w:r>
        <w:rPr>
          <w:rFonts w:hint="eastAsia" w:ascii="宋体" w:hAnsi="宋体" w:eastAsia="宋体" w:cs="宋体"/>
          <w:color w:val="auto"/>
          <w:sz w:val="24"/>
          <w:szCs w:val="24"/>
          <w:highlight w:val="none"/>
        </w:rPr>
        <w:t xml:space="preserve">2、合格的</w:t>
      </w:r>
      <w:bookmarkEnd w:id="58"/>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9" w:name="_Toc16938522"/>
      <w:r/>
      <w:bookmarkEnd w:id="59"/>
      <w:r/>
      <w:bookmarkStart w:id="60" w:name="_Toc513029206"/>
      <w:r/>
      <w:bookmarkEnd w:id="60"/>
      <w:r/>
      <w:bookmarkStart w:id="61" w:name="_Toc20823278"/>
      <w:r>
        <w:rPr>
          <w:rFonts w:hint="eastAsia" w:ascii="宋体" w:hAnsi="宋体" w:eastAsia="宋体" w:cs="宋体"/>
          <w:color w:val="auto"/>
          <w:sz w:val="24"/>
          <w:szCs w:val="24"/>
          <w:highlight w:val="none"/>
        </w:rPr>
        <w:t xml:space="preserve">3、适用法律</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2" w:name="_Toc462564067"/>
      <w:r/>
      <w:bookmarkEnd w:id="62"/>
      <w:r/>
      <w:bookmarkStart w:id="63" w:name="_Toc513029207"/>
      <w:r/>
      <w:bookmarkEnd w:id="63"/>
      <w:r/>
      <w:bookmarkStart w:id="64" w:name="_Toc16938523"/>
      <w:r/>
      <w:bookmarkEnd w:id="64"/>
      <w:r/>
      <w:bookmarkStart w:id="65" w:name="_Toc20823279"/>
      <w:r>
        <w:rPr>
          <w:rFonts w:hint="eastAsia" w:ascii="宋体" w:hAnsi="宋体" w:eastAsia="宋体" w:cs="宋体"/>
          <w:color w:val="auto"/>
          <w:sz w:val="24"/>
          <w:szCs w:val="24"/>
          <w:highlight w:val="none"/>
        </w:rPr>
        <w:t xml:space="preserve">4、磋商费用</w:t>
      </w:r>
      <w:bookmarkEnd w:id="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4.2本项目招标代理服务费由</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6" w:name="_Toc513029209"/>
      <w:r/>
      <w:bookmarkEnd w:id="66"/>
      <w:r/>
      <w:bookmarkStart w:id="67" w:name="_Toc16938525"/>
      <w:r/>
      <w:bookmarkEnd w:id="67"/>
      <w:r/>
      <w:bookmarkStart w:id="68" w:name="_Toc20823281"/>
      <w:r/>
      <w:bookmarkEnd w:id="68"/>
      <w:r/>
      <w:bookmarkStart w:id="69" w:name="_Toc120614215"/>
      <w:r>
        <w:rPr>
          <w:rFonts w:hint="eastAsia" w:ascii="宋体" w:hAnsi="宋体" w:eastAsia="宋体" w:cs="宋体"/>
          <w:b/>
          <w:bCs/>
          <w:color w:val="auto"/>
          <w:sz w:val="24"/>
          <w:szCs w:val="24"/>
          <w:highlight w:val="none"/>
        </w:rPr>
        <w:t xml:space="preserve">二、</w:t>
      </w:r>
      <w:bookmarkEnd w:id="69"/>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0" w:name="_Toc513029210"/>
      <w:r/>
      <w:bookmarkEnd w:id="70"/>
      <w:r/>
      <w:bookmarkStart w:id="71" w:name="_Toc16938526"/>
      <w:r/>
      <w:bookmarkEnd w:id="71"/>
      <w:r/>
      <w:bookmarkStart w:id="72" w:name="_Toc20823282"/>
      <w:r>
        <w:rPr>
          <w:rFonts w:hint="eastAsia" w:ascii="宋体" w:hAnsi="宋体" w:eastAsia="宋体" w:cs="宋体"/>
          <w:color w:val="auto"/>
          <w:sz w:val="24"/>
          <w:szCs w:val="24"/>
          <w:highlight w:val="none"/>
        </w:rPr>
        <w:t xml:space="preserve">6、磋商文件构成</w:t>
      </w:r>
      <w:bookmarkEnd w:id="7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3" w:name="_Toc462564070"/>
      <w:r/>
      <w:bookmarkEnd w:id="73"/>
      <w:r/>
      <w:bookmarkStart w:id="74" w:name="_Toc16938527"/>
      <w:r/>
      <w:bookmarkEnd w:id="74"/>
      <w:r/>
      <w:bookmarkStart w:id="75" w:name="_Toc513029211"/>
      <w:r/>
      <w:bookmarkEnd w:id="75"/>
      <w:r/>
      <w:bookmarkStart w:id="76" w:name="_Toc20823283"/>
      <w:r>
        <w:rPr>
          <w:rFonts w:hint="eastAsia" w:ascii="宋体" w:hAnsi="宋体" w:eastAsia="宋体" w:cs="宋体"/>
          <w:color w:val="auto"/>
          <w:sz w:val="24"/>
          <w:szCs w:val="24"/>
          <w:highlight w:val="none"/>
        </w:rPr>
        <w:t xml:space="preserve">7、磋商文件的澄清</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7" w:name="_Toc16938528"/>
      <w:r/>
      <w:bookmarkEnd w:id="77"/>
      <w:r/>
      <w:bookmarkStart w:id="78" w:name="_Toc513029212"/>
      <w:r/>
      <w:bookmarkEnd w:id="78"/>
      <w:r/>
      <w:bookmarkStart w:id="79" w:name="_Toc462564071"/>
      <w:r/>
      <w:bookmarkEnd w:id="79"/>
      <w:r/>
      <w:bookmarkStart w:id="80" w:name="_Toc20823284"/>
      <w:r>
        <w:rPr>
          <w:rFonts w:hint="eastAsia" w:ascii="宋体" w:hAnsi="宋体" w:eastAsia="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1" w:name="_Toc20823285"/>
      <w:r/>
      <w:bookmarkEnd w:id="81"/>
      <w:r/>
      <w:bookmarkStart w:id="82" w:name="_Toc16938529"/>
      <w:r/>
      <w:bookmarkEnd w:id="82"/>
      <w:r/>
      <w:bookmarkStart w:id="83" w:name="_Toc513029213"/>
      <w:r/>
      <w:bookmarkEnd w:id="83"/>
      <w:r/>
      <w:bookmarkStart w:id="84" w:name="_Toc462564072"/>
      <w:r/>
      <w:bookmarkEnd w:id="84"/>
      <w:r/>
      <w:bookmarkStart w:id="85" w:name="_Toc120614216"/>
      <w:r>
        <w:rPr>
          <w:rFonts w:hint="eastAsia" w:ascii="宋体" w:hAnsi="宋体" w:eastAsia="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eastAsia="宋体" w:cs="宋体"/>
          <w:color w:val="auto"/>
          <w:sz w:val="24"/>
          <w:szCs w:val="24"/>
          <w:highlight w:val="none"/>
        </w:rPr>
      </w:pPr>
      <w:r/>
      <w:bookmarkStart w:id="86" w:name="_Toc16938530"/>
      <w:r/>
      <w:bookmarkEnd w:id="86"/>
      <w:r/>
      <w:bookmarkStart w:id="87" w:name="_Toc513029214"/>
      <w:r/>
      <w:bookmarkEnd w:id="87"/>
      <w:r/>
      <w:bookmarkStart w:id="88" w:name="_Toc462564073"/>
      <w:r/>
      <w:bookmarkEnd w:id="88"/>
      <w:r/>
      <w:bookmarkStart w:id="89" w:name="_Toc20823286"/>
      <w:r>
        <w:rPr>
          <w:rFonts w:hint="eastAsia" w:ascii="宋体" w:hAnsi="宋体" w:eastAsia="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90" w:name="_Toc513029215"/>
      <w:r/>
      <w:bookmarkEnd w:id="90"/>
      <w:r/>
      <w:bookmarkStart w:id="91" w:name="_Toc462564074"/>
      <w:r/>
      <w:bookmarkEnd w:id="91"/>
      <w:r/>
      <w:bookmarkStart w:id="92" w:name="_Toc16938531"/>
      <w:r/>
      <w:bookmarkEnd w:id="92"/>
      <w:r/>
      <w:bookmarkStart w:id="93"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近六个月</w:t>
      </w:r>
      <w:r>
        <w:rPr>
          <w:rFonts w:hint="eastAsia" w:ascii="宋体" w:hAnsi="宋体" w:eastAsia="宋体" w:cs="宋体"/>
          <w:color w:val="auto"/>
          <w:sz w:val="24"/>
          <w:szCs w:val="24"/>
          <w:highlight w:val="none"/>
        </w:rPr>
        <w:t xml:space="preserve">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）磋商响应函、磋商报价表；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商务及</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（12）项目实施拟服务人员花名册</w:t>
      </w:r>
      <w:r>
        <w:rPr>
          <w:rFonts w:hint="eastAsia" w:ascii="宋体" w:hAnsi="宋体" w:cs="宋体"/>
          <w:color w:val="auto"/>
          <w:sz w:val="24"/>
          <w:szCs w:val="24"/>
          <w:highlight w:val="none"/>
          <w:lang w:val="en-US" w:eastAsia="zh-CN"/>
        </w:rPr>
        <w:t xml:space="preserve">；</w:t>
      </w:r>
      <w:r/>
    </w:p>
    <w:p>
      <w:pPr>
        <w:ind w:firstLine="48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（13）关于符合本国产品标准的声明函。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4" w:name="_Toc49090508"/>
      <w:r/>
      <w:bookmarkEnd w:id="94"/>
      <w:r/>
      <w:bookmarkStart w:id="95" w:name="_Hlt26668975"/>
      <w:r/>
      <w:bookmarkEnd w:id="95"/>
      <w:r/>
      <w:bookmarkStart w:id="96" w:name="_Toc14577355"/>
      <w:r/>
      <w:bookmarkEnd w:id="96"/>
      <w:r/>
      <w:bookmarkStart w:id="97" w:name="_Toc513029219"/>
      <w:r/>
      <w:bookmarkEnd w:id="97"/>
      <w:r/>
      <w:bookmarkStart w:id="98" w:name="_Toc14577354"/>
      <w:r/>
      <w:bookmarkEnd w:id="98"/>
      <w:r/>
      <w:bookmarkStart w:id="99" w:name="_Hlt26954838"/>
      <w:r/>
      <w:bookmarkEnd w:id="99"/>
      <w:r/>
      <w:bookmarkStart w:id="100" w:name="_Toc14577357"/>
      <w:r/>
      <w:bookmarkEnd w:id="100"/>
      <w:r/>
      <w:bookmarkStart w:id="101" w:name="_Hlt26670360"/>
      <w:r/>
      <w:bookmarkEnd w:id="101"/>
      <w:r/>
      <w:bookmarkStart w:id="102" w:name="_Toc49090509"/>
      <w:r/>
      <w:bookmarkEnd w:id="102"/>
      <w:r/>
      <w:bookmarkStart w:id="103" w:name="_Toc513029216"/>
      <w:r/>
      <w:bookmarkEnd w:id="103"/>
      <w:r/>
      <w:bookmarkStart w:id="104"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5" w:name="_Hlt26670482"/>
      <w:r/>
      <w:bookmarkEnd w:id="105"/>
      <w:r/>
      <w:bookmarkStart w:id="106" w:name="_Hlt26670486"/>
      <w:r/>
      <w:bookmarkEnd w:id="106"/>
      <w:r/>
      <w:bookmarkStart w:id="107" w:name="_Hlt26954846"/>
      <w:r/>
      <w:bookmarkEnd w:id="107"/>
      <w:r/>
      <w:bookmarkStart w:id="108" w:name="_Hlt26954731"/>
      <w:r/>
      <w:bookmarkEnd w:id="108"/>
      <w:r/>
      <w:bookmarkStart w:id="109"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9"/>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59"/>
      <w:r/>
      <w:bookmarkEnd w:id="110"/>
      <w:r/>
      <w:bookmarkStart w:id="111" w:name="_Toc49090510"/>
      <w:r>
        <w:rPr>
          <w:rFonts w:hint="eastAsia" w:ascii="宋体" w:hAnsi="宋体" w:eastAsia="宋体" w:cs="宋体"/>
          <w:color w:val="auto"/>
          <w:sz w:val="24"/>
          <w:szCs w:val="24"/>
          <w:highlight w:val="none"/>
        </w:rPr>
        <w:t xml:space="preserve">14、磋商响应函</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60"/>
      <w:r/>
      <w:bookmarkEnd w:id="112"/>
      <w:r/>
      <w:bookmarkStart w:id="113" w:name="_Toc49090511"/>
      <w:r>
        <w:rPr>
          <w:rFonts w:hint="eastAsia" w:ascii="宋体" w:hAnsi="宋体" w:eastAsia="宋体" w:cs="宋体"/>
          <w:color w:val="auto"/>
          <w:sz w:val="24"/>
          <w:szCs w:val="24"/>
          <w:highlight w:val="none"/>
        </w:rPr>
        <w:t xml:space="preserve">15、磋商有效期</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513029224"/>
      <w:r/>
      <w:bookmarkEnd w:id="114"/>
      <w:r/>
      <w:bookmarkStart w:id="115" w:name="_Hlt26954852"/>
      <w:r/>
      <w:bookmarkEnd w:id="115"/>
      <w:r/>
      <w:bookmarkStart w:id="116" w:name="_Toc16938540"/>
      <w:r/>
      <w:bookmarkEnd w:id="116"/>
      <w:r/>
      <w:bookmarkStart w:id="117" w:name="_Hlt26954739"/>
      <w:r/>
      <w:bookmarkEnd w:id="117"/>
      <w:r/>
      <w:bookmarkStart w:id="118" w:name="_Toc20823296"/>
      <w:r/>
      <w:bookmarkEnd w:id="118"/>
      <w:r/>
      <w:bookmarkStart w:id="119"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9"/>
      <w:r/>
      <w:bookmarkStart w:id="120" w:name="_Toc513029225"/>
      <w:r/>
      <w:bookmarkEnd w:id="120"/>
      <w:r/>
      <w:bookmarkStart w:id="121" w:name="_Toc462564084"/>
      <w:r/>
      <w:bookmarkEnd w:id="121"/>
      <w:r/>
      <w:bookmarkStart w:id="122" w:name="_Toc16938541"/>
      <w:r/>
      <w:bookmarkEnd w:id="122"/>
      <w:r/>
      <w:bookmarkStart w:id="123"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123"/>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124" w:name="_Toc20823298"/>
      <w:r/>
      <w:bookmarkEnd w:id="124"/>
      <w:r/>
      <w:bookmarkStart w:id="125" w:name="_Toc16938542"/>
      <w:r/>
      <w:bookmarkEnd w:id="125"/>
      <w:r/>
      <w:bookmarkStart w:id="126" w:name="_Toc513029226"/>
      <w:r/>
      <w:bookmarkEnd w:id="126"/>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采购代理机构可以按照规定，通过修改磋商文件酌情延长提交响应文件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27"/>
      <w:r/>
      <w:bookmarkEnd w:id="127"/>
      <w:r/>
      <w:bookmarkStart w:id="128" w:name="_Toc16938543"/>
      <w:r/>
      <w:bookmarkEnd w:id="128"/>
      <w:r/>
      <w:bookmarkStart w:id="129"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29"/>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0" w:name="_Toc16938544"/>
      <w:r/>
      <w:bookmarkEnd w:id="130"/>
      <w:r/>
      <w:bookmarkStart w:id="131" w:name="_Toc513029228"/>
      <w:r/>
      <w:bookmarkEnd w:id="131"/>
      <w:r/>
      <w:bookmarkStart w:id="132"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eastAsia="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3" w:name="_Toc513029229"/>
      <w:r/>
      <w:bookmarkEnd w:id="133"/>
      <w:r/>
      <w:bookmarkStart w:id="134" w:name="_Toc16938545"/>
      <w:r/>
      <w:bookmarkEnd w:id="134"/>
      <w:r/>
      <w:bookmarkStart w:id="135" w:name="_Toc20823301"/>
      <w:r/>
      <w:bookmarkEnd w:id="135"/>
      <w:r/>
      <w:bookmarkStart w:id="136" w:name="_Toc120614218"/>
      <w:r>
        <w:rPr>
          <w:rFonts w:hint="eastAsia" w:ascii="宋体" w:hAnsi="宋体" w:eastAsia="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eastAsia="宋体" w:cs="宋体"/>
          <w:color w:val="auto"/>
          <w:sz w:val="24"/>
          <w:szCs w:val="24"/>
          <w:highlight w:val="none"/>
        </w:rPr>
      </w:pPr>
      <w:r/>
      <w:bookmarkStart w:id="137" w:name="_Toc16938546"/>
      <w:r/>
      <w:bookmarkEnd w:id="137"/>
      <w:r/>
      <w:bookmarkStart w:id="138" w:name="_Toc513029230"/>
      <w:r/>
      <w:bookmarkEnd w:id="138"/>
      <w:r/>
      <w:bookmarkStart w:id="139"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39"/>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40" w:name="_Toc16938547"/>
      <w:r/>
      <w:bookmarkEnd w:id="140"/>
      <w:r/>
      <w:bookmarkStart w:id="141" w:name="_Toc513029231"/>
      <w:r/>
      <w:bookmarkEnd w:id="141"/>
      <w:r/>
      <w:bookmarkStart w:id="142"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3" w:name="_Toc513029232"/>
      <w:r/>
      <w:bookmarkEnd w:id="143"/>
      <w:r/>
      <w:bookmarkStart w:id="144" w:name="_Toc16938548"/>
      <w:r/>
      <w:bookmarkEnd w:id="144"/>
      <w:r/>
      <w:bookmarkStart w:id="145"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4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6" w:name="_Toc16938549"/>
      <w:r/>
      <w:bookmarkEnd w:id="146"/>
      <w:r/>
      <w:bookmarkStart w:id="147" w:name="_Toc513029233"/>
      <w:r/>
      <w:bookmarkEnd w:id="147"/>
      <w:r/>
      <w:bookmarkStart w:id="148"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48"/>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9" w:name="_Toc513029234"/>
      <w:r/>
      <w:bookmarkEnd w:id="149"/>
      <w:r/>
      <w:bookmarkStart w:id="150" w:name="_Toc16938550"/>
      <w:r/>
      <w:bookmarkEnd w:id="150"/>
      <w:r/>
      <w:bookmarkStart w:id="151"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bookmarkEnd w:id="15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cs="宋体"/>
          <w:b w:val="0"/>
          <w:bCs w:val="0"/>
          <w:color w:val="auto"/>
          <w:sz w:val="24"/>
          <w:szCs w:val="24"/>
          <w:highlight w:val="none"/>
          <w:lang w:val="en-US" w:eastAsia="zh-CN"/>
        </w:rPr>
        <w:t xml:space="preserve">本项目最后报价仅报总价，最后</w:t>
      </w:r>
      <w:r>
        <w:rPr>
          <w:rFonts w:hint="eastAsia" w:ascii="宋体" w:hAnsi="宋体" w:eastAsia="宋体" w:cs="宋体"/>
          <w:b w:val="0"/>
          <w:bCs w:val="0"/>
          <w:color w:val="auto"/>
          <w:sz w:val="24"/>
          <w:szCs w:val="24"/>
          <w:highlight w:val="none"/>
          <w:lang w:eastAsia="zh-CN"/>
        </w:rPr>
        <w:t xml:space="preserve">各项单价计算方法为：（最后报价总价）/（首次报价总价）*首次各项报价的单价。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2" w:name="_Toc16938551"/>
      <w:r/>
      <w:bookmarkEnd w:id="152"/>
      <w:r/>
      <w:bookmarkStart w:id="153" w:name="_Toc513029235"/>
      <w:r/>
      <w:bookmarkEnd w:id="153"/>
      <w:r/>
      <w:bookmarkStart w:id="154" w:name="_Toc20823307"/>
      <w:r/>
      <w:bookmarkEnd w:id="154"/>
      <w:r/>
      <w:bookmarkStart w:id="155" w:name="_Toc120614219"/>
      <w:r>
        <w:rPr>
          <w:rFonts w:hint="eastAsia" w:ascii="宋体" w:hAnsi="宋体" w:eastAsia="宋体" w:cs="宋体"/>
          <w:b/>
          <w:bCs/>
          <w:color w:val="auto"/>
          <w:sz w:val="24"/>
          <w:szCs w:val="24"/>
          <w:highlight w:val="none"/>
        </w:rPr>
        <w:t xml:space="preserve">六、</w:t>
      </w:r>
      <w:bookmarkEnd w:id="155"/>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6" w:name="_Toc513029238"/>
      <w:r/>
      <w:bookmarkEnd w:id="156"/>
      <w:r/>
      <w:bookmarkStart w:id="157" w:name="_Toc16938554"/>
      <w:r/>
      <w:bookmarkEnd w:id="157"/>
      <w:r/>
      <w:bookmarkStart w:id="158"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58"/>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9"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w:t>
      </w:r>
      <w:r>
        <w:rPr>
          <w:rFonts w:hint="eastAsia" w:ascii="宋体" w:hAnsi="宋体" w:eastAsia="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rPr>
        <w:t xml:space="preserve">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eastAsia="宋体" w:cs="宋体"/>
          <w:color w:val="auto"/>
          <w:sz w:val="24"/>
          <w:szCs w:val="24"/>
          <w:highlight w:val="none"/>
        </w:rPr>
      </w:pPr>
      <w:r/>
      <w:bookmarkStart w:id="160" w:name="_Toc120614220"/>
      <w:r/>
      <w:bookmarkEnd w:id="160"/>
      <w:r/>
      <w:bookmarkStart w:id="161" w:name="_Toc16938552"/>
      <w:r/>
      <w:bookmarkEnd w:id="161"/>
      <w:r/>
      <w:bookmarkStart w:id="162" w:name="_Toc513029236"/>
      <w:r/>
      <w:bookmarkEnd w:id="162"/>
      <w:r/>
      <w:bookmarkStart w:id="163" w:name="_Toc20823308"/>
      <w:r>
        <w:rPr>
          <w:rFonts w:hint="eastAsia" w:ascii="宋体" w:hAnsi="宋体" w:eastAsia="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eastAsia="宋体" w:cs="宋体"/>
          <w:color w:val="auto"/>
          <w:sz w:val="24"/>
          <w:szCs w:val="24"/>
          <w:highlight w:val="none"/>
        </w:rPr>
      </w:pPr>
      <w:r/>
      <w:bookmarkStart w:id="164" w:name="_Toc513029237"/>
      <w:r/>
      <w:bookmarkEnd w:id="164"/>
      <w:r/>
      <w:bookmarkStart w:id="165" w:name="_Toc16938553"/>
      <w:r/>
      <w:bookmarkEnd w:id="165"/>
      <w:r/>
      <w:bookmarkStart w:id="166"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、签订合同</w:t>
      </w:r>
      <w:bookmarkEnd w:id="16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67" w:name="_Toc20823314"/>
      <w:r/>
      <w:bookmarkEnd w:id="167"/>
      <w:r/>
      <w:bookmarkStart w:id="168" w:name="_Toc16938558"/>
      <w:r/>
      <w:bookmarkEnd w:id="168"/>
      <w:r/>
      <w:bookmarkStart w:id="169" w:name="_Toc479757207"/>
      <w:r/>
      <w:bookmarkEnd w:id="169"/>
      <w:r/>
      <w:bookmarkStart w:id="170" w:name="_Toc513029242"/>
      <w:r/>
      <w:bookmarkEnd w:id="170"/>
      <w:r/>
      <w:bookmarkStart w:id="171"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、按照《绿色数据中心政府采购需求标准(试行)》（财库[2023]7号）文件要求执行。</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八、其他说明</w:t>
      </w:r>
      <w:r/>
    </w:p>
    <w:p>
      <w:pPr>
        <w:pStyle w:val="749"/>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36、关于异常低价的处理</w:t>
      </w:r>
      <w:r/>
    </w:p>
    <w:p>
      <w:pPr>
        <w:pStyle w:val="749"/>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36.1依据财政部《财政部关于推动解决政府采购异常低价问题的通知（财库〔2026〕2号）》等相关文件精神，评审委员会启动异常低价投标（响应）审查程序。</w:t>
      </w:r>
      <w:r/>
    </w:p>
    <w:p>
      <w:pPr>
        <w:pStyle w:val="756"/>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36.2响应报价低于采购项目预算</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en-US" w:eastAsia="zh-CN" w:bidi="ar-SA"/>
        </w:rPr>
        <w:t xml:space="preserve">%的，即响应报价&lt;采购项目预算×</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en-US" w:eastAsia="zh-CN" w:bidi="ar-SA"/>
        </w:rPr>
        <w:t xml:space="preserve">%，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p>
    <w:p>
      <w:pPr>
        <w:pStyle w:val="756"/>
        <w:numPr>
          <w:ilvl w:val="0"/>
          <w:numId w:val="1"/>
        </w:numPr>
        <w:ind w:firstLine="480"/>
        <w:keepLines w:val="0"/>
        <w:keepNext w:val="0"/>
        <w:pageBreakBefore w:val="0"/>
        <w:spacing w:line="360" w:lineRule="auto"/>
        <w:rPr>
          <w:rFonts w:hint="eastAsia" w:ascii="宋体" w:hAnsi="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本国产品价格扣除政策</w:t>
      </w:r>
      <w:r/>
    </w:p>
    <w:p>
      <w:pPr>
        <w:pStyle w:val="756"/>
        <w:numPr>
          <w:ilvl w:val="0"/>
          <w:numId w:val="0"/>
        </w:numPr>
        <w:keepLines w:val="0"/>
        <w:keepNext w:val="0"/>
        <w:pageBreakBefore w:val="0"/>
        <w:spacing w:line="360" w:lineRule="auto"/>
        <w:rPr>
          <w:rFonts w:hint="default" w:ascii="宋体" w:hAnsi="宋体" w:cs="宋体"/>
          <w:strike/>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    37.1根据政府采购扶持本国产业相关规定，若供应商所投维保配套耗材、替换设备全部为国内生产本国产品，可对其有效报价给予20%价格扣除，扣除后报价仅用于价格分计算；供应商须在响应文件中提供本国产品声明函及相关证明材料，未提供不予扣除。</w:t>
      </w:r>
      <w:r/>
    </w:p>
    <w:p>
      <w:pPr>
        <w:pStyle w:val="756"/>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40"/>
        <w:keepNext/>
        <w:rPr>
          <w:rFonts w:hint="eastAsia" w:ascii="宋体" w:hAnsi="宋体" w:eastAsia="宋体" w:cs="宋体"/>
          <w:color w:val="auto"/>
          <w:sz w:val="24"/>
          <w:szCs w:val="24"/>
          <w:highlight w:val="none"/>
        </w:rPr>
        <w:outlineLvl w:val="0"/>
      </w:pPr>
      <w:r/>
      <w:bookmarkStart w:id="172" w:name="_Toc26517"/>
      <w:r>
        <w:rPr>
          <w:rFonts w:hint="eastAsia" w:ascii="宋体" w:hAnsi="宋体" w:eastAsia="宋体" w:cs="宋体"/>
          <w:color w:val="auto"/>
          <w:sz w:val="44"/>
          <w:szCs w:val="44"/>
          <w:highlight w:val="none"/>
        </w:rPr>
        <w:t xml:space="preserve">第三章 合同文本</w:t>
      </w:r>
      <w:bookmarkEnd w:id="172"/>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bookmarkStart w:id="173" w:name="_Toc16938559"/>
      <w:r/>
      <w:bookmarkEnd w:id="173"/>
      <w:r/>
      <w:bookmarkStart w:id="174" w:name="_Hlt16619350"/>
      <w:r/>
      <w:bookmarkEnd w:id="174"/>
      <w:r/>
      <w:bookmarkStart w:id="175" w:name="_Toc16938590"/>
      <w:r/>
      <w:bookmarkEnd w:id="175"/>
      <w:r/>
      <w:bookmarkStart w:id="176" w:name="_Toc513029243"/>
      <w:r/>
      <w:bookmarkEnd w:id="176"/>
      <w:r/>
      <w:bookmarkStart w:id="177" w:name="_Toc120614244"/>
      <w:r/>
      <w:bookmarkEnd w:id="177"/>
      <w:r/>
      <w:bookmarkStart w:id="178" w:name="_Hlt16619369"/>
      <w:r/>
      <w:bookmarkEnd w:id="178"/>
      <w:r/>
      <w:bookmarkStart w:id="179" w:name="_Toc20823346"/>
      <w:r/>
      <w:bookmarkEnd w:id="179"/>
      <w:r/>
      <w:bookmarkStart w:id="180" w:name="_Toc462564139"/>
      <w:r/>
      <w:bookmarkEnd w:id="180"/>
      <w:r/>
      <w:bookmarkStart w:id="181" w:name="_Toc479757211"/>
      <w:r/>
      <w:bookmarkStart w:id="182" w:name="_Toc31380"/>
      <w:r>
        <w:rPr>
          <w:rFonts w:hint="eastAsia" w:ascii="宋体" w:hAnsi="宋体" w:eastAsia="宋体" w:cs="宋体"/>
          <w:color w:val="auto"/>
          <w:sz w:val="24"/>
          <w:szCs w:val="24"/>
          <w:highlight w:val="none"/>
        </w:rPr>
        <w:t xml:space="preserve">以下为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签订本项目合同的通用条款，</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不得提出实质性的修改，关于专用条款将由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结合本项目具体情况协商后签订。</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40" w:lineRule="exact"/>
        <w:widowControl/>
        <w:rPr>
          <w:rFonts w:hint="default" w:ascii="宋体" w:hAnsi="宋体" w:eastAsia="宋体" w:cs="宋体"/>
          <w:b/>
          <w:color w:val="auto"/>
          <w:sz w:val="24"/>
          <w:highlight w:val="none"/>
          <w:u w:val="single"/>
          <w:lang w:val="en-US" w:eastAsia="zh-CN"/>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w:t>
      </w:r>
      <w:bookmarkStart w:id="183" w:name="purchase_start"/>
      <w:r/>
      <w:bookmarkEnd w:id="183"/>
      <w:r/>
      <w:bookmarkStart w:id="184" w:name="purchase_end"/>
      <w:r/>
      <w:bookmarkEnd w:id="184"/>
      <w:r/>
      <w:bookmarkStart w:id="185" w:name="purchase_name"/>
      <w:r/>
      <w:bookmarkEnd w:id="185"/>
      <w:r>
        <w:rPr>
          <w:rFonts w:hint="eastAsia" w:ascii="宋体" w:hAnsi="宋体" w:cs="宋体"/>
          <w:color w:val="auto"/>
          <w:sz w:val="24"/>
          <w:highlight w:val="none"/>
          <w:lang w:val="en-US" w:eastAsia="zh-CN"/>
        </w:rPr>
        <w:t xml:space="preserve">泰州市中医院</w:t>
      </w:r>
      <w:r/>
    </w:p>
    <w:p>
      <w:pPr>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rPr>
        <w:t xml:space="preserve">:</w:t>
      </w:r>
      <w:bookmarkStart w:id="186" w:name="suppliers_name"/>
      <w:r/>
      <w:bookmarkEnd w:id="186"/>
      <w:r/>
      <w:r/>
    </w:p>
    <w:p>
      <w:pPr>
        <w:ind w:firstLine="480"/>
        <w:keepLines w:val="0"/>
        <w:keepNext w:val="0"/>
        <w:pageBreakBefore w:val="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甲乙双方根据项目编号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szCs w:val="24"/>
          <w:highlight w:val="none"/>
          <w:lang w:eastAsia="zh-CN"/>
        </w:rPr>
        <w:t xml:space="preserve">泰州市中医院电脑打印机维保服务</w:t>
      </w:r>
      <w:r>
        <w:rPr>
          <w:rFonts w:hint="eastAsia" w:ascii="宋体" w:hAnsi="宋体" w:eastAsia="宋体" w:cs="宋体"/>
          <w:color w:val="auto"/>
          <w:sz w:val="24"/>
          <w:highlight w:val="none"/>
        </w:rPr>
        <w:t xml:space="preserve">竞争性磋商采购结果及采购文件的要求，经协商一致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达成如下采购服务合同：</w:t>
      </w:r>
      <w:r/>
    </w:p>
    <w:p>
      <w:pPr>
        <w:ind w:firstLine="480"/>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一、</w:t>
      </w:r>
      <w:r>
        <w:rPr>
          <w:rFonts w:hint="eastAsia" w:ascii="宋体" w:hAnsi="宋体" w:eastAsia="宋体" w:cs="宋体"/>
          <w:b/>
          <w:bCs/>
          <w:color w:val="auto"/>
          <w:sz w:val="24"/>
          <w:highlight w:val="none"/>
        </w:rPr>
        <w:t xml:space="preserve">采购标的</w:t>
      </w:r>
      <w:r/>
    </w:p>
    <w:p>
      <w:pPr>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1、服务名称：</w:t>
      </w:r>
      <w:r>
        <w:rPr>
          <w:rFonts w:hint="eastAsia" w:ascii="宋体" w:hAnsi="宋体" w:cs="宋体"/>
          <w:color w:val="auto"/>
          <w:sz w:val="24"/>
          <w:szCs w:val="24"/>
          <w:highlight w:val="none"/>
          <w:lang w:eastAsia="zh-CN"/>
        </w:rPr>
        <w:t xml:space="preserve">泰州市中医院电脑打印机维保服务。</w:t>
      </w:r>
      <w:r/>
    </w:p>
    <w:p>
      <w:pPr>
        <w:ind w:firstLine="480"/>
        <w:keepLines w:val="0"/>
        <w:keepNext w:val="0"/>
        <w:pageBreakBefore w:val="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2、服务内容：参照磋商文件的具体要求。</w:t>
      </w:r>
      <w:r/>
    </w:p>
    <w:p>
      <w:pPr>
        <w:ind w:firstLine="480"/>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3、服务期限：参照磋商文件的具体要求。</w:t>
      </w:r>
      <w:r/>
    </w:p>
    <w:p>
      <w:pPr>
        <w:ind w:firstLine="480"/>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二、合同价款</w:t>
      </w:r>
      <w:r>
        <w:rPr>
          <w:rFonts w:hint="eastAsia" w:ascii="宋体" w:hAnsi="宋体" w:eastAsia="宋体" w:cs="宋体"/>
          <w:color w:val="auto"/>
          <w:sz w:val="24"/>
          <w:highlight w:val="none"/>
        </w:rPr>
        <w:t xml:space="preserve">：人民币。</w:t>
      </w:r>
      <w:r/>
    </w:p>
    <w:p>
      <w:pPr>
        <w:ind w:firstLine="480"/>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本合同价款包含所有乙方提供合同约定的服务内容的报酬及乙方提供该项服务所支出的必要费用，甲方在上述合同价款之外不再向乙方支付其他任何费用。</w:t>
      </w:r>
      <w:r/>
    </w:p>
    <w:p>
      <w:pPr>
        <w:ind w:firstLine="482"/>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三、合同履行</w:t>
      </w:r>
      <w:r>
        <w:rPr>
          <w:rFonts w:hint="eastAsia" w:ascii="宋体" w:hAnsi="宋体" w:eastAsia="宋体" w:cs="宋体"/>
          <w:color w:val="auto"/>
          <w:sz w:val="24"/>
          <w:highlight w:val="none"/>
        </w:rPr>
        <w:t xml:space="preserve">：本合同项下服务的提供参照磋商文件的具体要求履行，甲乙双方通过补充条款进行特殊约定的从其约定。</w:t>
      </w:r>
      <w:r/>
    </w:p>
    <w:p>
      <w:pPr>
        <w:ind w:firstLine="480"/>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keepLines w:val="0"/>
        <w:keepNext w:val="0"/>
        <w:pageBreakBefore w:val="0"/>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 xml:space="preserve">四、验收</w:t>
      </w:r>
      <w:r>
        <w:rPr>
          <w:rFonts w:hint="eastAsia" w:ascii="宋体" w:hAnsi="宋体" w:eastAsia="宋体" w:cs="宋体"/>
          <w:color w:val="auto"/>
          <w:sz w:val="24"/>
          <w:highlight w:val="none"/>
        </w:rPr>
        <w:t xml:space="preserve">：甲方在合同履行期间，有权依照磋商文件相关要求对乙方提供的相关服务或交付的工作成果进行阶段性验收及/或总体验收。</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482"/>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五、合同责任</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1、甲方应当为乙方履行合同提供必要的支持。</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3、乙方在履行合同中产生的一切非因甲方过错导致的损失，均由乙方自行承担责任。</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甲方指定联络人：</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bookmarkStart w:id="187" w:name="purchase_relation_name"/>
      <w:r/>
      <w:bookmarkEnd w:id="187"/>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188" w:name="purchase_relation_tel"/>
      <w:r/>
      <w:bookmarkEnd w:id="188"/>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乙方指定联络人：</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bookmarkStart w:id="189" w:name="supplier_relation_name"/>
      <w:r/>
      <w:bookmarkEnd w:id="189"/>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190" w:name="supplier_relation_tel"/>
      <w:r/>
      <w:bookmarkEnd w:id="190"/>
      <w:r/>
      <w:r/>
    </w:p>
    <w:p>
      <w:pPr>
        <w:ind w:firstLine="482"/>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六、履约保证金</w:t>
      </w:r>
      <w:r>
        <w:rPr>
          <w:rFonts w:hint="eastAsia" w:ascii="宋体" w:hAnsi="宋体" w:eastAsia="宋体" w:cs="宋体"/>
          <w:color w:val="auto"/>
          <w:sz w:val="24"/>
          <w:highlight w:val="none"/>
        </w:rPr>
        <w:t xml:space="preserve">：</w:t>
      </w:r>
      <w:r/>
    </w:p>
    <w:p>
      <w:pPr>
        <w:ind w:firstLine="480"/>
        <w:keepLines w:val="0"/>
        <w:keepNext w:val="0"/>
        <w:pageBreakBefore w:val="0"/>
        <w:spacing w:line="440" w:lineRule="exact"/>
        <w:tabs>
          <w:tab w:val="left" w:pos="0" w:leader="none"/>
          <w:tab w:val="left" w:pos="993" w:leader="none"/>
          <w:tab w:val="left" w:pos="1134"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本项目履约保证金为成交价的5%（</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自主选择以电汇、转账、支票、汇票、 本票（限泰州同城）、保函、保证保险等非现金形式缴纳或提交），服务期满无违约的，</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退场交接完成后15个工作日内无息退还。</w:t>
      </w:r>
      <w:r/>
    </w:p>
    <w:p>
      <w:pPr>
        <w:ind w:firstLine="482"/>
        <w:keepLines w:val="0"/>
        <w:keepNext w:val="0"/>
        <w:pageBreakBefore w:val="0"/>
        <w:spacing w:line="440" w:lineRule="exact"/>
        <w:tabs>
          <w:tab w:val="left" w:pos="0" w:leader="none"/>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七、付款</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合同签订后，按总成交价平均分6次完成对应款项的支付，即每完成6个月维保任务，成交供应商凭考核结果按期开具合法正式发票(含税)经采购人审批后支付。</w:t>
      </w:r>
      <w:bookmarkStart w:id="208" w:name="_GoBack"/>
      <w:r/>
      <w:bookmarkEnd w:id="208"/>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highlight w:val="none"/>
        </w:rPr>
        <w:t xml:space="preserve">八、</w:t>
      </w:r>
      <w:r>
        <w:rPr>
          <w:rFonts w:hint="eastAsia" w:ascii="宋体" w:hAnsi="宋体" w:eastAsia="宋体" w:cs="宋体"/>
          <w:b/>
          <w:color w:val="auto"/>
          <w:sz w:val="24"/>
          <w:szCs w:val="24"/>
          <w:highlight w:val="none"/>
          <w:lang w:val="en-US" w:eastAsia="zh-CN"/>
        </w:rPr>
        <w:t xml:space="preserve">考核标准与办法</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（一）违约处置</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1.擅自转包、违规分包：</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有权单方终止合同、扣除全部履约保证金，并追究其违约责任。</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2.无故推诿报修、拒不服务：按规定扣分，情节严重的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有权单方终止合同。</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3.提供假冒、翻新、二次耗材 / 配件：一经查实，假一罚十，当月考核直接记0分，情节严重的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有权单方终止合同、扣除全部履约保证金，并追究其违约责任。</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4.泄露</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患者数据、办公涉密内容等相关信息，</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有权单方终止合同、扣除全部履约保证金，并追究法律及经济责任。</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（二）考核结算规则</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月度考核评分表（满分100 分）</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得分≥90 分：全额支付；</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 分：扣当月费用 5%；</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 分：扣当月费用 10%；</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 分：扣当月费用 20%；</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连续 2 个月＜70 分：限期 15 天提交整改方案，包括且不限于驻场人员增配、优化响应流程等，</w:t>
      </w:r>
      <w:r/>
    </w:p>
    <w:p>
      <w:pPr>
        <w:pStyle w:val="910"/>
        <w:ind w:firstLine="480"/>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整改后第 3 个月仍低于 70 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有权单方终止合同，扣除全部履约保证金以及追究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相关责任。</w:t>
      </w:r>
      <w:r/>
    </w:p>
    <w:p>
      <w:pPr>
        <w:ind w:left="0" w:firstLine="48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bidi="ar-SA"/>
        </w:rPr>
        <w:t xml:space="preserve">考核扣分细则（月度）：</w:t>
      </w:r>
      <w:r/>
    </w:p>
    <w:tbl>
      <w:tblPr>
        <w:tblStyle w:val="731"/>
        <w:tblpPr w:horzAnchor="page" w:tblpXSpec="center" w:vertAnchor="text" w:tblpY="298" w:leftFromText="180" w:topFromText="0" w:rightFromText="180" w:bottomFromText="0"/>
        <w:tblW w:w="4860"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610"/>
        <w:gridCol w:w="1580"/>
        <w:gridCol w:w="766"/>
        <w:gridCol w:w="5068"/>
        <w:gridCol w:w="657"/>
      </w:tblGrid>
      <w:tr>
        <w:trPr>
          <w:jc w:val="center"/>
          <w:trHeight w:val="545"/>
          <w:tblHead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Mar>
              <w:left w:w="120" w:type="dxa"/>
              <w:top w:w="120" w:type="dxa"/>
              <w:right w:w="120" w:type="dxa"/>
              <w:bottom w:w="120" w:type="dxa"/>
            </w:tcMar>
            <w:tcW w:w="1512"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考核项目</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分值</w:t>
            </w:r>
            <w:r/>
          </w:p>
        </w:tc>
        <w:tc>
          <w:tcPr>
            <w:shd w:val="clear" w:color="auto" w:fill="auto"/>
            <w:tcMar>
              <w:left w:w="120" w:type="dxa"/>
              <w:top w:w="120" w:type="dxa"/>
              <w:right w:w="120" w:type="dxa"/>
              <w:bottom w:w="120" w:type="dxa"/>
            </w:tcMar>
            <w:tcW w:w="4849"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考核内容与评分标准</w:t>
            </w:r>
            <w:r/>
          </w:p>
        </w:tc>
        <w:tc>
          <w:tcPr>
            <w:shd w:val="clear" w:color="auto" w:fill="auto"/>
            <w:tcMar>
              <w:left w:w="120" w:type="dxa"/>
              <w:top w:w="120" w:type="dxa"/>
              <w:right w:w="120" w:type="dxa"/>
              <w:bottom w:w="120" w:type="dxa"/>
            </w:tcMar>
            <w:tcW w:w="629" w:type="dxa"/>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扣分</w:t>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120" w:type="dxa"/>
              <w:top w:w="120" w:type="dxa"/>
              <w:right w:w="120" w:type="dxa"/>
              <w:bottom w:w="120" w:type="dxa"/>
            </w:tcMar>
            <w:tcW w:w="151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人员考勤</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30</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迟到、早退单次扣2分，旷工单次扣10分</w:t>
            </w:r>
            <w:r>
              <w:rPr>
                <w:rFonts w:hint="eastAsia" w:ascii="宋体" w:hAnsi="宋体" w:cs="宋体"/>
                <w:color w:val="auto"/>
                <w:sz w:val="21"/>
                <w:szCs w:val="21"/>
                <w:highlight w:val="none"/>
                <w:lang w:eastAsia="zh-CN"/>
              </w:rPr>
              <w:t xml:space="preserve">；</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库房管理</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30</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库房管理不规范、备品不足，单次扣5分</w:t>
            </w:r>
            <w:r>
              <w:rPr>
                <w:rFonts w:hint="eastAsia" w:ascii="宋体" w:hAnsi="宋体" w:cs="宋体"/>
                <w:color w:val="auto"/>
                <w:sz w:val="21"/>
                <w:szCs w:val="21"/>
                <w:highlight w:val="none"/>
                <w:lang w:eastAsia="zh-CN"/>
              </w:rPr>
              <w:t xml:space="preserve">；</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配送/维修记录</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15</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维修记录漏项，每处扣1分；</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响应、处置</w:t>
            </w:r>
            <w:r>
              <w:rPr>
                <w:rFonts w:hint="eastAsia" w:ascii="宋体" w:hAnsi="宋体" w:cs="宋体"/>
                <w:color w:val="auto"/>
                <w:sz w:val="21"/>
                <w:szCs w:val="21"/>
                <w:highlight w:val="none"/>
                <w:lang w:val="en-US" w:eastAsia="zh-CN" w:bidi="ar"/>
              </w:rPr>
              <w:t xml:space="preserve">时效</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响应超时、处置超时，单次扣1分；</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故障</w:t>
            </w:r>
            <w:r>
              <w:rPr>
                <w:rFonts w:hint="eastAsia" w:ascii="宋体" w:hAnsi="宋体" w:cs="宋体"/>
                <w:color w:val="auto"/>
                <w:sz w:val="21"/>
                <w:szCs w:val="21"/>
                <w:highlight w:val="none"/>
                <w:lang w:val="en-US" w:eastAsia="zh-CN" w:bidi="ar"/>
              </w:rPr>
              <w:t xml:space="preserve">维修成功率</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故障反复维修、被投诉，单次扣</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3"/>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月度服务报告</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7</w:t>
            </w:r>
            <w:r/>
          </w:p>
        </w:tc>
        <w:tc>
          <w:tcPr>
            <w:shd w:val="clear" w:color="auto" w:fill="auto"/>
            <w:tcMar>
              <w:left w:w="120" w:type="dxa"/>
              <w:top w:w="120" w:type="dxa"/>
              <w:right w:w="120" w:type="dxa"/>
              <w:bottom w:w="120" w:type="dxa"/>
            </w:tcMar>
            <w:tcW w:w="4849"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每月10日前提交上月完整月度报告，如因乙方原因无法提供月度报告得，每次扣</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分</w:t>
            </w:r>
            <w:r>
              <w:rPr>
                <w:rFonts w:hint="eastAsia" w:ascii="宋体" w:hAnsi="宋体" w:cs="宋体"/>
                <w:color w:val="auto"/>
                <w:sz w:val="21"/>
                <w:szCs w:val="21"/>
                <w:highlight w:val="none"/>
                <w:lang w:eastAsia="zh-CN"/>
              </w:rPr>
              <w:t xml:space="preserve">；</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3"/>
        </w:trPr>
        <w:tc>
          <w:tcPr>
            <w:shd w:val="clear" w:color="auto" w:fill="auto"/>
            <w:tcMar>
              <w:left w:w="120" w:type="dxa"/>
              <w:top w:w="120" w:type="dxa"/>
              <w:right w:w="120" w:type="dxa"/>
              <w:bottom w:w="120" w:type="dxa"/>
            </w:tcMar>
            <w:tcW w:w="58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耗材</w:t>
            </w:r>
            <w:r>
              <w:rPr>
                <w:rFonts w:hint="eastAsia" w:ascii="宋体" w:hAnsi="宋体" w:cs="宋体"/>
                <w:color w:val="auto"/>
                <w:sz w:val="21"/>
                <w:szCs w:val="21"/>
                <w:highlight w:val="none"/>
                <w:lang w:val="en-US" w:eastAsia="zh-CN" w:bidi="ar"/>
              </w:rPr>
              <w:t xml:space="preserve">质量</w:t>
            </w:r>
            <w:r/>
          </w:p>
        </w:tc>
        <w:tc>
          <w:tcPr>
            <w:shd w:val="clear" w:color="auto" w:fill="auto"/>
            <w:tcMar>
              <w:left w:w="120" w:type="dxa"/>
              <w:top w:w="120" w:type="dxa"/>
              <w:right w:w="120" w:type="dxa"/>
              <w:bottom w:w="120" w:type="dxa"/>
            </w:tcMar>
            <w:tcW w:w="73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w:t>
            </w:r>
            <w:r/>
          </w:p>
        </w:tc>
        <w:tc>
          <w:tcPr>
            <w:shd w:val="clear" w:color="auto" w:fill="auto"/>
            <w:tcMar>
              <w:left w:w="120" w:type="dxa"/>
              <w:top w:w="120" w:type="dxa"/>
              <w:right w:w="120" w:type="dxa"/>
              <w:bottom w:w="120" w:type="dxa"/>
            </w:tcMar>
            <w:tcW w:w="4849"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rPr>
              <w:t xml:space="preserve">耗材假冒</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rPr>
              <w:t xml:space="preserve">二次使用，单次扣</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rPr>
              <w:t xml:space="preserve">00分</w:t>
            </w:r>
            <w:r>
              <w:rPr>
                <w:rFonts w:hint="eastAsia" w:ascii="宋体" w:hAnsi="宋体" w:eastAsia="宋体" w:cs="宋体"/>
                <w:color w:val="auto"/>
                <w:sz w:val="21"/>
                <w:szCs w:val="21"/>
                <w:highlight w:val="none"/>
                <w:lang w:val="en-US" w:eastAsia="zh-CN"/>
              </w:rPr>
              <w:t xml:space="preserve">。</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Mar>
              <w:left w:w="120" w:type="dxa"/>
              <w:top w:w="120" w:type="dxa"/>
              <w:right w:w="120" w:type="dxa"/>
              <w:bottom w:w="120" w:type="dxa"/>
            </w:tcMar>
            <w:tcW w:w="58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w:t>
            </w:r>
            <w:r/>
          </w:p>
        </w:tc>
        <w:tc>
          <w:tcPr>
            <w:shd w:val="clear" w:color="auto" w:fill="auto"/>
            <w:tcMar>
              <w:left w:w="120" w:type="dxa"/>
              <w:top w:w="120" w:type="dxa"/>
              <w:right w:w="120" w:type="dxa"/>
              <w:bottom w:w="120" w:type="dxa"/>
            </w:tcMar>
            <w:tcW w:w="15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合计</w:t>
            </w:r>
            <w:r/>
          </w:p>
        </w:tc>
        <w:tc>
          <w:tcPr>
            <w:shd w:val="clear" w:color="auto" w:fill="auto"/>
            <w:tcMar>
              <w:left w:w="120" w:type="dxa"/>
              <w:top w:w="120" w:type="dxa"/>
              <w:right w:w="120" w:type="dxa"/>
              <w:bottom w:w="120" w:type="dxa"/>
            </w:tcMar>
            <w:tcW w:w="733"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Mar>
              <w:left w:w="120" w:type="dxa"/>
              <w:top w:w="120" w:type="dxa"/>
              <w:right w:w="120" w:type="dxa"/>
              <w:bottom w:w="120" w:type="dxa"/>
            </w:tcMar>
            <w:tcW w:w="484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w:t>
            </w:r>
            <w:r/>
          </w:p>
        </w:tc>
        <w:tc>
          <w:tcPr>
            <w:shd w:val="clear" w:color="auto" w:fill="auto"/>
            <w:tcMar>
              <w:left w:w="120" w:type="dxa"/>
              <w:top w:w="120" w:type="dxa"/>
              <w:right w:w="120" w:type="dxa"/>
              <w:bottom w:w="120" w:type="dxa"/>
            </w:tcMar>
            <w:tcW w:w="62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九、保密条款</w:t>
      </w:r>
      <w:r>
        <w:rPr>
          <w:rFonts w:hint="eastAsia" w:ascii="宋体" w:hAnsi="宋体" w:eastAsia="宋体" w:cs="宋体"/>
          <w:color w:val="auto"/>
          <w:sz w:val="24"/>
          <w:highlight w:val="none"/>
        </w:rPr>
        <w:t xml:space="preserve">：乙方不得将在履行本合同中知悉的甲方任何信息随意泄露、擅自使用。</w:t>
      </w:r>
      <w:r/>
    </w:p>
    <w:p>
      <w:pPr>
        <w:ind w:firstLine="480"/>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如违反本条款规定，乙方应当承担如下责任：</w:t>
      </w:r>
      <w:r>
        <w:rPr>
          <w:rFonts w:hint="eastAsia" w:ascii="宋体" w:hAnsi="宋体" w:eastAsia="宋体" w:cs="宋体"/>
          <w:color w:val="auto"/>
          <w:sz w:val="24"/>
          <w:highlight w:val="none"/>
          <w:u w:val="single"/>
        </w:rPr>
        <w:t xml:space="preserve">乙方需承担因此给甲方造成的所有直接和间接损失</w:t>
      </w:r>
      <w:r>
        <w:rPr>
          <w:rFonts w:hint="eastAsia" w:ascii="宋体" w:hAnsi="宋体" w:eastAsia="宋体" w:cs="宋体"/>
          <w:color w:val="auto"/>
          <w:sz w:val="24"/>
          <w:highlight w:val="none"/>
        </w:rPr>
        <w:t xml:space="preserve">。</w:t>
      </w:r>
      <w:r/>
    </w:p>
    <w:p>
      <w:pPr>
        <w:ind w:firstLine="482"/>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十、</w:t>
      </w:r>
      <w:r>
        <w:rPr>
          <w:rFonts w:hint="eastAsia" w:ascii="宋体" w:hAnsi="宋体" w:eastAsia="宋体" w:cs="宋体"/>
          <w:b/>
          <w:color w:val="auto"/>
          <w:sz w:val="24"/>
          <w:highlight w:val="none"/>
        </w:rPr>
        <w:t xml:space="preserve">合同纠纷处理：</w:t>
      </w:r>
      <w:r>
        <w:rPr>
          <w:rFonts w:hint="eastAsia" w:ascii="宋体" w:hAnsi="宋体" w:eastAsia="宋体" w:cs="宋体"/>
          <w:color w:val="auto"/>
          <w:sz w:val="24"/>
          <w:highlight w:val="none"/>
        </w:rPr>
        <w:t xml:space="preserve">本合同执行过程中发生纠纷，由甲乙双方协商处理，若协商不成，双方一致同意作如下</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处理：</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1、申请仲裁。选定仲裁机构为泰州市仲裁委员会。</w:t>
      </w:r>
      <w:r/>
    </w:p>
    <w:p>
      <w:pPr>
        <w:ind w:firstLine="480"/>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2、提起诉讼。约定由</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所在地法院管辖。</w:t>
      </w:r>
      <w:r/>
    </w:p>
    <w:p>
      <w:pPr>
        <w:ind w:firstLine="482"/>
        <w:keepLines w:val="0"/>
        <w:keepNext w:val="0"/>
        <w:pageBreakBefore w:val="0"/>
        <w:spacing w:line="440" w:lineRule="exact"/>
        <w:widowControl/>
        <w:tabs>
          <w:tab w:val="left" w:pos="1980"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十、合同生效：</w:t>
      </w:r>
      <w:r>
        <w:rPr>
          <w:rFonts w:hint="eastAsia" w:ascii="宋体" w:hAnsi="宋体" w:eastAsia="宋体" w:cs="宋体"/>
          <w:color w:val="auto"/>
          <w:sz w:val="24"/>
          <w:highlight w:val="none"/>
        </w:rPr>
        <w:t xml:space="preserve">本合同由甲乙双方签字盖章后生效。</w:t>
      </w:r>
      <w:r/>
    </w:p>
    <w:p>
      <w:pPr>
        <w:ind w:firstLine="482"/>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、组成本合同的文件包括：</w:t>
      </w:r>
      <w:r/>
    </w:p>
    <w:p>
      <w:pPr>
        <w:ind w:firstLine="480"/>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（一）合同通用条款和专用条款；</w:t>
      </w:r>
      <w:r/>
    </w:p>
    <w:p>
      <w:pPr>
        <w:ind w:firstLine="480"/>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（二）采购文件和乙方的响应文件；</w:t>
      </w:r>
      <w:r/>
    </w:p>
    <w:p>
      <w:pPr>
        <w:ind w:firstLine="480"/>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（三）中标通知书；</w:t>
      </w:r>
      <w:r/>
    </w:p>
    <w:p>
      <w:pPr>
        <w:ind w:firstLine="480"/>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（四）甲乙双方商定的其他必要文件。</w:t>
      </w:r>
      <w:r/>
    </w:p>
    <w:p>
      <w:pPr>
        <w:ind w:firstLine="480"/>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上述合同文件内容互为补充，如有不明确，由甲方负责解释。</w:t>
      </w:r>
      <w:r/>
    </w:p>
    <w:p>
      <w:pPr>
        <w:ind w:firstLine="482"/>
        <w:keepLines w:val="0"/>
        <w:keepNext w:val="0"/>
        <w:pageBreakBefore w:val="0"/>
        <w:spacing w:line="440" w:lineRule="exact"/>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、合同备案</w:t>
      </w:r>
      <w:r/>
    </w:p>
    <w:p>
      <w:pPr>
        <w:ind w:firstLine="480"/>
        <w:keepLines w:val="0"/>
        <w:keepNext w:val="0"/>
        <w:pageBreakBefore w:val="0"/>
        <w:spacing w:line="44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本合同一式四份，中文书写。甲乙双方各执</w:t>
      </w:r>
      <w:r>
        <w:rPr>
          <w:rFonts w:hint="eastAsia" w:ascii="宋体" w:hAnsi="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甲方（公章）：泰州市中医院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乙方（公章）：</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单位地址：泰州市海陵区济川东路86号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单位地址：                                                                                          </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电话：0523-86611712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电话：</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开户行：建行泰州分行营业部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开户行： </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账号</w:t>
      </w:r>
      <w:r>
        <w:rPr>
          <w:rFonts w:hint="eastAsia" w:ascii="宋体" w:hAnsi="宋体" w:eastAsia="宋体" w:cs="宋体"/>
          <w:b w:val="0"/>
          <w:color w:val="auto"/>
          <w:position w:val="0"/>
          <w:sz w:val="24"/>
          <w:szCs w:val="24"/>
          <w:highlight w:val="none"/>
        </w:rPr>
        <w:t xml:space="preserve">：105312800026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4"/>
          <w:szCs w:val="24"/>
          <w:highlight w:val="none"/>
          <w:lang w:val="en-US" w:eastAsia="zh-CN"/>
        </w:rPr>
        <w:t xml:space="preserve">账号</w:t>
      </w:r>
      <w:r>
        <w:rPr>
          <w:rFonts w:hint="eastAsia" w:ascii="宋体" w:hAnsi="宋体" w:eastAsia="宋体" w:cs="宋体"/>
          <w:b w:val="0"/>
          <w:color w:val="auto"/>
          <w:position w:val="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信用代码：123212004690411095</w:t>
      </w:r>
      <w:r/>
    </w:p>
    <w:p>
      <w:pPr>
        <w:ind w:firstLine="480"/>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法定代表人或授权代表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法定代表人或授权代表</w:t>
      </w:r>
      <w:r/>
    </w:p>
    <w:p>
      <w:pPr>
        <w:ind w:firstLine="960"/>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签字(或盖章）：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签字(或盖章）：</w:t>
      </w:r>
      <w:r/>
    </w:p>
    <w:p>
      <w:pPr>
        <w:ind w:firstLine="480"/>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ind w:firstLine="240"/>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业务部门代表签字：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业务代表签字：                                             </w:t>
      </w:r>
      <w:r/>
    </w:p>
    <w:p>
      <w:pPr>
        <w:keepLines w:val="0"/>
        <w:keepNext w:val="0"/>
        <w:pageBreakBefore w:val="0"/>
        <w:spacing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日期：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日期：</w:t>
      </w:r>
      <w:r/>
    </w:p>
    <w:p>
      <w:pPr>
        <w:pStyle w:val="910"/>
        <w:ind w:firstLine="480"/>
        <w:keepLines w:val="0"/>
        <w:keepNext w:val="0"/>
        <w:pageBreakBefore w:val="0"/>
        <w:spacing w:before="0" w:beforeAutospacing="0" w:after="0" w:line="440" w:lineRule="exact"/>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202</w:t>
      </w:r>
      <w:r>
        <w:rPr>
          <w:rFonts w:hint="eastAsia" w:ascii="宋体" w:hAnsi="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rPr>
        <w:t xml:space="preserve">年   月   日                      </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rPr>
        <w:t xml:space="preserve">   202</w:t>
      </w:r>
      <w:r>
        <w:rPr>
          <w:rFonts w:hint="eastAsia" w:ascii="宋体" w:hAnsi="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rPr>
        <w:t xml:space="preserve">年   月   日</w:t>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181"/>
      <w:r>
        <w:rPr>
          <w:rFonts w:hint="eastAsia" w:ascii="宋体" w:hAnsi="宋体" w:eastAsia="宋体" w:cs="宋体"/>
          <w:color w:val="auto"/>
          <w:sz w:val="44"/>
          <w:szCs w:val="44"/>
          <w:highlight w:val="none"/>
        </w:rPr>
        <w:t xml:space="preserve">四章 采购需求</w:t>
      </w:r>
      <w:bookmarkEnd w:id="182"/>
      <w:r/>
      <w:bookmarkStart w:id="191" w:name="_Toc26554093"/>
      <w:r/>
      <w:bookmarkEnd w:id="191"/>
      <w:r/>
      <w:bookmarkStart w:id="192" w:name="_Toc49090575"/>
      <w:r/>
      <w:bookmarkEnd w:id="192"/>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bookmarkStart w:id="193" w:name="_Toc120614281"/>
      <w:r/>
      <w:bookmarkStart w:id="194" w:name="_Toc22673"/>
      <w:r>
        <w:rPr>
          <w:rFonts w:hint="eastAsia" w:ascii="宋体" w:hAnsi="宋体" w:eastAsia="宋体" w:cs="宋体"/>
          <w:b/>
          <w:bCs/>
          <w:color w:val="auto"/>
          <w:sz w:val="24"/>
          <w:szCs w:val="24"/>
          <w:highlight w:val="none"/>
          <w:lang w:val="en-US" w:eastAsia="zh-CN"/>
        </w:rPr>
        <w:t xml:space="preserve">一、主要内容</w:t>
      </w:r>
      <w:r/>
    </w:p>
    <w:p>
      <w:pPr>
        <w:pStyle w:val="751"/>
        <w:ind w:firstLine="480"/>
        <w:keepLines w:val="0"/>
        <w:keepNext w:val="0"/>
        <w:pageBreakBefore w:val="0"/>
        <w:spacing w:after="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泰州市中医院提供全院计算机、打印复印设备、外设及接入端网络等维保服务，包含设备维修、耗材供应、配件更换、移机、日常巡检、应急保障等全部相关服务。服务范围覆盖济川路院区、邑庙街院区、泰和堂国医馆、机关门诊、城管局</w:t>
      </w:r>
      <w:r>
        <w:rPr>
          <w:rFonts w:hint="eastAsia" w:ascii="宋体" w:hAnsi="宋体" w:eastAsia="宋体" w:cs="宋体"/>
          <w:color w:val="auto"/>
          <w:sz w:val="24"/>
          <w:szCs w:val="24"/>
          <w:highlight w:val="none"/>
          <w:lang w:val="en-US" w:eastAsia="zh-CN"/>
        </w:rPr>
        <w:t xml:space="preserve">门诊</w:t>
      </w:r>
      <w:r>
        <w:rPr>
          <w:rFonts w:hint="eastAsia" w:ascii="宋体" w:hAnsi="宋体" w:eastAsia="宋体" w:cs="宋体"/>
          <w:color w:val="auto"/>
          <w:sz w:val="24"/>
          <w:szCs w:val="24"/>
          <w:highlight w:val="none"/>
        </w:rPr>
        <w:t xml:space="preserve">等全部服务点位。本项目服务全过程严格遵照计算机及办公设备维修服务行业规范、电子信息设备运维标准、网络运维安全规范、信息安全保密制度等执行，同时遵守</w:t>
      </w:r>
      <w:r>
        <w:rPr>
          <w:rFonts w:hint="eastAsia" w:ascii="宋体" w:hAnsi="宋体" w:cs="宋体"/>
          <w:color w:val="auto"/>
          <w:sz w:val="24"/>
          <w:szCs w:val="24"/>
          <w:highlight w:val="none"/>
          <w:lang w:val="en-US" w:eastAsia="zh-CN"/>
        </w:rPr>
        <w:t xml:space="preserve">采购人内部</w:t>
      </w:r>
      <w:r>
        <w:rPr>
          <w:rFonts w:hint="eastAsia" w:ascii="宋体" w:hAnsi="宋体" w:eastAsia="宋体" w:cs="宋体"/>
          <w:color w:val="auto"/>
          <w:sz w:val="24"/>
          <w:szCs w:val="24"/>
          <w:highlight w:val="none"/>
        </w:rPr>
        <w:t xml:space="preserve">管理制度，相关标准有</w:t>
      </w:r>
      <w:r>
        <w:rPr>
          <w:rFonts w:hint="eastAsia" w:ascii="宋体" w:hAnsi="宋体" w:cs="宋体"/>
          <w:color w:val="auto"/>
          <w:sz w:val="24"/>
          <w:szCs w:val="24"/>
          <w:highlight w:val="none"/>
          <w:lang w:val="en-US" w:eastAsia="zh-CN"/>
        </w:rPr>
        <w:t xml:space="preserve">最新要求的</w:t>
      </w:r>
      <w:r>
        <w:rPr>
          <w:rFonts w:hint="eastAsia" w:ascii="宋体" w:hAnsi="宋体" w:eastAsia="宋体" w:cs="宋体"/>
          <w:color w:val="auto"/>
          <w:sz w:val="24"/>
          <w:szCs w:val="24"/>
          <w:highlight w:val="none"/>
        </w:rPr>
        <w:t xml:space="preserve">，按最新标准执行</w:t>
      </w:r>
      <w:r>
        <w:rPr>
          <w:rFonts w:hint="eastAsia" w:ascii="宋体" w:hAnsi="宋体" w:eastAsia="宋体" w:cs="宋体"/>
          <w:color w:val="auto"/>
          <w:sz w:val="24"/>
          <w:szCs w:val="24"/>
          <w:highlight w:val="none"/>
          <w:lang w:eastAsia="zh-CN"/>
        </w:rPr>
        <w:t xml:space="preserve">。</w:t>
      </w:r>
      <w:r/>
    </w:p>
    <w:p>
      <w:pPr>
        <w:pStyle w:val="751"/>
        <w:ind w:firstLine="482"/>
        <w:keepLines w:val="0"/>
        <w:keepNext w:val="0"/>
        <w:pageBreakBefore w:val="0"/>
        <w:spacing w:after="0"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服务对象包含全院计算机（约1400台）、打印复印设备（约</w:t>
      </w:r>
      <w:r>
        <w:rPr>
          <w:rFonts w:hint="eastAsia" w:ascii="宋体" w:hAnsi="宋体" w:eastAsia="宋体" w:cs="宋体"/>
          <w:b/>
          <w:bCs w:val="0"/>
          <w:color w:val="auto"/>
          <w:sz w:val="24"/>
          <w:szCs w:val="24"/>
          <w:highlight w:val="none"/>
          <w:lang w:val="en-US" w:eastAsia="zh-CN"/>
        </w:rPr>
        <w:t xml:space="preserve">1000</w:t>
      </w:r>
      <w:r>
        <w:rPr>
          <w:rFonts w:hint="eastAsia" w:ascii="宋体" w:hAnsi="宋体" w:eastAsia="宋体" w:cs="宋体"/>
          <w:b/>
          <w:bCs w:val="0"/>
          <w:color w:val="auto"/>
          <w:sz w:val="24"/>
          <w:szCs w:val="24"/>
          <w:highlight w:val="none"/>
          <w:lang w:eastAsia="zh-CN"/>
        </w:rPr>
        <w:t xml:space="preserve">台，不含门诊 / 住院自助机）、电脑外设（键盘、鼠标、扫描枪等）、接入端网络（接入交换机至终端链路、简单网络配置）；服务内容含设备维修、原装 / 合格耗材</w:t>
      </w:r>
      <w:r>
        <w:rPr>
          <w:rFonts w:hint="eastAsia" w:ascii="宋体" w:hAnsi="宋体" w:eastAsia="宋体" w:cs="宋体"/>
          <w:b/>
          <w:bCs w:val="0"/>
          <w:color w:val="auto"/>
          <w:sz w:val="24"/>
          <w:szCs w:val="24"/>
          <w:highlight w:val="none"/>
          <w:lang w:val="en-US" w:eastAsia="zh-CN"/>
        </w:rPr>
        <w:t xml:space="preserve">不限量</w:t>
      </w:r>
      <w:r>
        <w:rPr>
          <w:rFonts w:hint="eastAsia" w:ascii="宋体" w:hAnsi="宋体" w:eastAsia="宋体" w:cs="宋体"/>
          <w:b/>
          <w:bCs w:val="0"/>
          <w:color w:val="auto"/>
          <w:sz w:val="24"/>
          <w:szCs w:val="24"/>
          <w:highlight w:val="none"/>
          <w:lang w:eastAsia="zh-CN"/>
        </w:rPr>
        <w:t xml:space="preserve">供应、配件免费更换、设备移机、定期巡检、故障抢修、应急保障、台账管理、档案留存等。</w:t>
      </w:r>
      <w:r/>
    </w:p>
    <w:p>
      <w:pPr>
        <w:pStyle w:val="921"/>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备注：详细清单见附件：</w:t>
      </w:r>
      <w:r>
        <w:rPr>
          <w:rFonts w:hint="eastAsia" w:ascii="宋体" w:hAnsi="宋体" w:eastAsia="宋体" w:cs="宋体"/>
          <w:color w:val="auto"/>
          <w:sz w:val="24"/>
          <w:szCs w:val="24"/>
          <w:highlight w:val="none"/>
          <w:lang w:val="en-US" w:eastAsia="zh-CN"/>
        </w:rPr>
        <w:t xml:space="preserve">电脑打印机统计明细</w:t>
      </w:r>
      <w:r>
        <w:rPr>
          <w:rFonts w:hint="eastAsia" w:ascii="宋体" w:hAnsi="宋体" w:eastAsia="宋体" w:cs="宋体"/>
          <w:b/>
          <w:bCs/>
          <w:color w:val="auto"/>
          <w:sz w:val="24"/>
          <w:szCs w:val="24"/>
          <w:highlight w:val="none"/>
          <w:lang w:val="en-US" w:eastAsia="zh-CN"/>
        </w:rPr>
        <w:t xml:space="preserve">.xlsx。（清单为采购人自行</w:t>
      </w:r>
      <w:r/>
    </w:p>
    <w:p>
      <w:pPr>
        <w:pStyle w:val="921"/>
        <w:ind w:left="0" w:firstLine="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进行的统计，实际数量、规格型号等可能存在合理范围内的细微偏差，各供应商应结合现场勘察情形， 充分考虑该因素，合理测算相应报价！）</w:t>
      </w:r>
      <w:r/>
    </w:p>
    <w:p>
      <w:pPr>
        <w:numPr>
          <w:ilvl w:val="0"/>
          <w:numId w:val="0"/>
        </w:numPr>
        <w:ind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2"/>
      </w:pPr>
      <w:r/>
      <w:bookmarkStart w:id="195" w:name="heading_2"/>
      <w:r>
        <w:rPr>
          <w:rFonts w:hint="eastAsia" w:ascii="宋体" w:hAnsi="宋体" w:eastAsia="宋体" w:cs="宋体"/>
          <w:b/>
          <w:color w:val="auto"/>
          <w:sz w:val="24"/>
          <w:szCs w:val="24"/>
          <w:highlight w:val="none"/>
          <w:lang w:val="en-US" w:eastAsia="zh-CN"/>
        </w:rPr>
        <w:t xml:space="preserve">二、技术要求</w:t>
      </w:r>
      <w:r/>
    </w:p>
    <w:p>
      <w:pPr>
        <w:numPr>
          <w:ilvl w:val="0"/>
          <w:numId w:val="0"/>
        </w:num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bookmarkEnd w:id="195"/>
      <w:r>
        <w:rPr>
          <w:rFonts w:hint="eastAsia" w:ascii="宋体" w:hAnsi="宋体" w:eastAsia="宋体" w:cs="宋体"/>
          <w:b/>
          <w:color w:val="auto"/>
          <w:sz w:val="24"/>
          <w:szCs w:val="24"/>
          <w:highlight w:val="none"/>
        </w:rPr>
        <w:t xml:space="preserve">分项维保目标及服务内容</w:t>
      </w:r>
      <w:r/>
    </w:p>
    <w:p>
      <w:pPr>
        <w:ind w:left="0" w:firstLine="482"/>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bookmarkStart w:id="196" w:name="heading_3"/>
      <w:r>
        <w:rPr>
          <w:rFonts w:hint="eastAsia" w:ascii="宋体" w:hAnsi="宋体" w:eastAsia="宋体" w:cs="宋体"/>
          <w:b/>
          <w:color w:val="auto"/>
          <w:sz w:val="24"/>
          <w:szCs w:val="24"/>
          <w:highlight w:val="none"/>
        </w:rPr>
        <w:t xml:space="preserve">1</w:t>
      </w:r>
      <w:bookmarkEnd w:id="19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打印复印设备维保</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（1）维保目标</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设备综合可用率≥99%，卡纸率＜1%，单次故障一次修复率≥95%；打印 / 复印画质清晰，黑白输出字迹实心无断墨，彩色校色准确；故障快速处置，保障</w:t>
      </w:r>
      <w:r>
        <w:rPr>
          <w:rFonts w:hint="eastAsia" w:ascii="宋体" w:hAnsi="宋体" w:eastAsia="宋体" w:cs="宋体"/>
          <w:color w:val="auto"/>
          <w:sz w:val="24"/>
          <w:szCs w:val="24"/>
          <w:highlight w:val="none"/>
        </w:rPr>
        <w:t xml:space="preserve">服务范围</w:t>
      </w:r>
      <w:r>
        <w:rPr>
          <w:rFonts w:hint="eastAsia" w:ascii="宋体" w:hAnsi="宋体" w:eastAsia="宋体" w:cs="宋体"/>
          <w:color w:val="auto"/>
          <w:sz w:val="24"/>
          <w:szCs w:val="24"/>
          <w:highlight w:val="none"/>
          <w:lang w:val="en-US" w:eastAsia="zh-CN"/>
        </w:rPr>
        <w:t xml:space="preserve">内诊疗、办公正常使用。</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（2）维保内容</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1）耗材供应要求</w:t>
      </w:r>
      <w:r/>
    </w:p>
    <w:p>
      <w:pPr>
        <w:pStyle w:val="921"/>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硒鼓、墨盒、色带架、碳粉、墨水等全部列为一次性消耗品，禁止任何形式重复加粉、加注墨水、翻新拆解、回收二次复用，供货及运维过程中若出现翻新填充耗材，采购人有权拒收、扣除履约保证金并追究违约责任。单支耗材标称打印页数≥2500 页（基准测试条件：A4 复印纸、页面 5% 文字覆盖率），实际有效打印页数不得低于该标准。</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•黑白设备耗材材质标准：黑白打印设备配套耗材必须供应全新优质成品耗材，不得提供再生硒鼓、回收旧墨盒、拆机翻新件、散装分装碳粉等劣质回收类耗材，供货时所有耗材为国产未拆封全新成品。</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•采购人B超室内彩色打印机、柯尼卡美能达 C300I 彩色复印机必须提供打印机品牌厂商原厂原装耗材（原厂包装、防伪码）；</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•除纸张、标签、订书钉外，其余</w:t>
      </w:r>
      <w:r>
        <w:rPr>
          <w:rFonts w:hint="eastAsia" w:ascii="宋体" w:hAnsi="宋体" w:cs="宋体"/>
          <w:color w:val="auto"/>
          <w:sz w:val="24"/>
          <w:szCs w:val="24"/>
          <w:highlight w:val="none"/>
          <w:lang w:val="en-US" w:eastAsia="zh-CN"/>
        </w:rPr>
        <w:t xml:space="preserve">打印复印机所需</w:t>
      </w:r>
      <w:r>
        <w:rPr>
          <w:rFonts w:hint="eastAsia" w:ascii="宋体" w:hAnsi="宋体" w:eastAsia="宋体" w:cs="宋体"/>
          <w:color w:val="auto"/>
          <w:sz w:val="24"/>
          <w:szCs w:val="24"/>
          <w:highlight w:val="none"/>
          <w:lang w:val="en-US" w:eastAsia="zh-CN"/>
        </w:rPr>
        <w:t xml:space="preserve">常规耗材全部由成交供应商免费提供；</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2）设备维修与配件</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服务期内所有打印复印设备（不分质保内外）故障维修、零配件更换全部免费，包含主板、电源、硒鼓组件、搓纸轮、定影组件等全套配件。</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3）新增 / 替换设备要求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•服务期内，</w:t>
      </w:r>
      <w:r>
        <w:rPr>
          <w:rFonts w:hint="eastAsia" w:ascii="宋体" w:hAnsi="宋体" w:cs="宋体"/>
          <w:color w:val="auto"/>
          <w:sz w:val="24"/>
          <w:szCs w:val="24"/>
          <w:highlight w:val="none"/>
          <w:lang w:val="en-US" w:eastAsia="zh-CN"/>
        </w:rPr>
        <w:t xml:space="preserve">为保证采购人业务工作不受中断和影响，供应商需</w:t>
      </w:r>
      <w:r>
        <w:rPr>
          <w:rFonts w:hint="eastAsia" w:ascii="宋体" w:hAnsi="宋体" w:eastAsia="宋体" w:cs="宋体"/>
          <w:color w:val="auto"/>
          <w:sz w:val="24"/>
          <w:szCs w:val="24"/>
          <w:highlight w:val="none"/>
          <w:lang w:val="en-US" w:eastAsia="zh-CN"/>
        </w:rPr>
        <w:t xml:space="preserve">免费提供100台全新打印复印设备（70台激光打印机、10台彩色打印机、10台票据打印机、10台标签打印机）于采购人，用于</w:t>
      </w:r>
      <w:r>
        <w:rPr>
          <w:rFonts w:hint="eastAsia" w:ascii="宋体" w:hAnsi="宋体" w:cs="宋体"/>
          <w:color w:val="auto"/>
          <w:sz w:val="24"/>
          <w:szCs w:val="24"/>
          <w:highlight w:val="none"/>
          <w:lang w:val="en-US" w:eastAsia="zh-CN"/>
        </w:rPr>
        <w:t xml:space="preserve">服务周期内</w:t>
      </w:r>
      <w:r>
        <w:rPr>
          <w:rFonts w:hint="eastAsia" w:ascii="宋体" w:hAnsi="宋体" w:eastAsia="宋体" w:cs="宋体"/>
          <w:color w:val="auto"/>
          <w:sz w:val="24"/>
          <w:szCs w:val="24"/>
          <w:highlight w:val="none"/>
          <w:lang w:val="en-US" w:eastAsia="zh-CN"/>
        </w:rPr>
        <w:t xml:space="preserve">相关设备的更新和替换，新设备性能要求须满足下列参数要求（可与院方现使用设备一致或者升级替代型号，替代型号经采购人同意后方可予以更换）。该批设备资产所属归采购人所有，同时纳入整体运维服务范围，其耗材供应与维修服务同样适用本项目条款。相关全部成本由响应供应商综合测算并计入响应总价中。</w:t>
      </w:r>
      <w:r/>
    </w:p>
    <w:p>
      <w:pPr>
        <w:pStyle w:val="921"/>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激光打印机参数如下：</w:t>
      </w:r>
      <w:r/>
    </w:p>
    <w:tbl>
      <w:tblPr>
        <w:tblStyle w:val="752"/>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6559"/>
      </w:tblGrid>
      <w:tr>
        <w:trPr/>
        <w:tc>
          <w:tcPr>
            <w:shd w:val="clear" w:color="auto" w:fill="auto"/>
            <w:tcW w:w="239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项目</w:t>
            </w:r>
            <w:r/>
          </w:p>
        </w:tc>
        <w:tc>
          <w:tcPr>
            <w:shd w:val="clear" w:color="auto" w:fill="auto"/>
            <w:tcW w:w="6559"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技术参数要求</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打印速度</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21PPM(A4)，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22ppm(LTR)，</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36PPM(A5长边)</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最大月打印量</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10000页</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分辨率(dpi)</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物理分辨率: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600*600dpi</w:t>
            </w:r>
            <w:r/>
          </w:p>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软件增强分辨率: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1200*600dpi</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双面打印</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手动双面</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纸张输入容量</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150页+10页手送纸盒</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纸张输出容量</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100页</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耗材类型</w:t>
            </w:r>
            <w:r/>
          </w:p>
        </w:tc>
        <w:tc>
          <w:tcPr>
            <w:tcW w:w="6559"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鼓粉一体</w:t>
            </w:r>
            <w:r/>
          </w:p>
        </w:tc>
      </w:tr>
    </w:tbl>
    <w:p>
      <w:pPr>
        <w:pStyle w:val="921"/>
        <w:ind w:left="0"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彩色打印机参数如下：</w:t>
      </w:r>
      <w:r/>
    </w:p>
    <w:tbl>
      <w:tblPr>
        <w:tblStyle w:val="752"/>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6576"/>
      </w:tblGrid>
      <w:tr>
        <w:trPr/>
        <w:tc>
          <w:tcPr>
            <w:shd w:val="clear" w:color="auto" w:fill="auto"/>
            <w:tcW w:w="239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项目</w:t>
            </w:r>
            <w:r/>
          </w:p>
        </w:tc>
        <w:tc>
          <w:tcPr>
            <w:shd w:val="clear" w:color="auto" w:fill="auto"/>
            <w:tcW w:w="657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技术参数要求</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打印速度</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经济：黑白 ≥33页/分钟、彩色 ≥15页/分钟</w:t>
            </w:r>
            <w:r/>
          </w:p>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快速鲜明：黑白 ≥18页/分钟、彩色 ≥9.2页/分钟</w:t>
            </w:r>
            <w:r/>
          </w:p>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标准：黑白 ≥11页/分钟、彩色 ≥6页/分钟</w:t>
            </w:r>
            <w:r/>
          </w:p>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6寸照片：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27秒（有边距，经济）</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分辨率(dpi)</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5760 × 1440 dpi </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双面打印</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手动双面</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耗材类型</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四色墨仓（黑/青/洋红/黄），原装印量：黑白4500页、彩色7500页</w:t>
            </w:r>
            <w:r/>
          </w:p>
        </w:tc>
      </w:tr>
    </w:tbl>
    <w:p>
      <w:pPr>
        <w:pStyle w:val="921"/>
        <w:ind w:left="0"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票据打印机参数如下：</w:t>
      </w:r>
      <w:r/>
    </w:p>
    <w:tbl>
      <w:tblPr>
        <w:tblStyle w:val="752"/>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6592"/>
      </w:tblGrid>
      <w:tr>
        <w:trPr/>
        <w:tc>
          <w:tcPr>
            <w:shd w:val="clear" w:color="auto" w:fill="auto"/>
            <w:tcW w:w="239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项目</w:t>
            </w:r>
            <w:r/>
          </w:p>
        </w:tc>
        <w:tc>
          <w:tcPr>
            <w:shd w:val="clear" w:color="auto" w:fill="auto"/>
            <w:tcW w:w="6592"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技术参数要求</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打印速度</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180 mm/s</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分辨率(dpi)</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203 × 203 dpi</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耗材类型</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热敏打印</w:t>
            </w:r>
            <w:r/>
          </w:p>
        </w:tc>
      </w:tr>
      <w:tr>
        <w:trPr>
          <w:trHeight w:val="408"/>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打印宽度</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72 mm</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纸卷规格</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80mm 热敏纸，外径最大 83mm</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自动切纸</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支持（全切）</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切刀寿命</w:t>
            </w:r>
            <w:r/>
          </w:p>
        </w:tc>
        <w:tc>
          <w:tcPr>
            <w:tcW w:w="6592"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100万次</w:t>
            </w:r>
            <w:r/>
          </w:p>
        </w:tc>
      </w:tr>
    </w:tbl>
    <w:p>
      <w:pPr>
        <w:pStyle w:val="921"/>
        <w:ind w:left="0"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标签打印机参数如下：</w:t>
      </w:r>
      <w:r/>
    </w:p>
    <w:tbl>
      <w:tblPr>
        <w:tblStyle w:val="752"/>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6576"/>
      </w:tblGrid>
      <w:tr>
        <w:trPr/>
        <w:tc>
          <w:tcPr>
            <w:shd w:val="clear" w:color="auto" w:fill="auto"/>
            <w:tcW w:w="239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项目</w:t>
            </w:r>
            <w:r/>
          </w:p>
        </w:tc>
        <w:tc>
          <w:tcPr>
            <w:shd w:val="clear" w:color="auto" w:fill="auto"/>
            <w:tcW w:w="657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lang w:val="en-US" w:eastAsia="zh-CN" w:bidi="ar-SA"/>
              </w:rPr>
              <w:suppressLineNumbers w:val="0"/>
            </w:pPr>
            <w:r>
              <w:rPr>
                <w:rFonts w:hint="eastAsia" w:ascii="宋体" w:hAnsi="宋体" w:eastAsia="宋体" w:cs="宋体"/>
                <w:b/>
                <w:color w:val="auto"/>
                <w:sz w:val="24"/>
                <w:szCs w:val="24"/>
                <w:highlight w:val="none"/>
              </w:rPr>
              <w:t xml:space="preserve">技术参数要求</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打印速度</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127 mm/s</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分辨率(dpi)</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203 × 203 dpi</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耗材类型</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支持热敏打印，支持热转印</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打印宽度</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108 mm</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介质宽度</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25.4–120 mm</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介质外径</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 mm</w:t>
            </w:r>
            <w:r/>
          </w:p>
        </w:tc>
      </w:tr>
      <w:tr>
        <w:trPr/>
        <w:tc>
          <w:tcPr>
            <w:tcW w:w="2396" w:type="dxa"/>
            <w:textDirection w:val="lrTb"/>
            <w:noWrap w:val="false"/>
          </w:tcPr>
          <w:p>
            <w:pPr>
              <w:pStyle w:val="921"/>
              <w:ind w:left="0" w:firstLine="0"/>
              <w:jc w:val="center"/>
              <w:keepLines w:val="0"/>
              <w:keepNext w:val="0"/>
              <w:pageBreakBefore w:val="0"/>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传感器</w:t>
            </w:r>
            <w:r/>
          </w:p>
        </w:tc>
        <w:tc>
          <w:tcPr>
            <w:tcW w:w="6576" w:type="dxa"/>
            <w:textDirection w:val="lrTb"/>
            <w:noWrap w:val="false"/>
          </w:tcPr>
          <w:p>
            <w:pPr>
              <w:pStyle w:val="921"/>
              <w:ind w:left="0" w:firstLine="0"/>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可移动黑标传感器，支持标签/吊牌定位</w:t>
            </w:r>
            <w:r/>
          </w:p>
        </w:tc>
      </w:tr>
    </w:tbl>
    <w:p>
      <w:pPr>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使用年限≥6 年的设备：同一设备1个月内故障维修≥3次仍无法稳定运行，或存在故障无法修复时，由供应商向采购人提交书面报废申请，经采购人确认后再行报损，设备由采购人收回；</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使用年限＜6 年的设备：运行速度影响采购人业务工作的或存在故障无法修复，供应商须及时免费提供备用机。</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4）巡检与养护</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•每季度 1 日 - 5 日完成全院打印设备盘点、全面清洁、保养，排查卡纸、硬件配件老化、线路松动等问题。</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•每季度深度检修，测试设备各项性能，对老化部件提前预警、更换。</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•每次巡检、保养完成后，形成书面记录及月度服务报告并由采购人签字确认后存档。</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计算机及外设维保</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bookmarkStart w:id="197" w:name="heading_4"/>
      <w:r>
        <w:rPr>
          <w:rFonts w:hint="eastAsia" w:ascii="宋体" w:hAnsi="宋体" w:eastAsia="宋体" w:cs="宋体"/>
          <w:color w:val="auto"/>
          <w:sz w:val="24"/>
          <w:szCs w:val="24"/>
          <w:highlight w:val="none"/>
          <w:lang w:val="en-US" w:eastAsia="zh-CN"/>
        </w:rPr>
        <w:t xml:space="preserve">（1）维保目标</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计算机整机运行稳定，软硬件故障及时修复，外设功能正常；终端网络连接通畅，IP 配置准确，无断网、卡顿问题，不影响临床及办公工作。</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（2）维保内容</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1）硬件维修：主机、显示器、键盘、鼠标、扫描枪等全系列外设故障检测、维修、配件免费更换（全部外设、配件、零件免费更换）。</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2）软件服务：系统修复、驱动安装调试、常规软件故障处理、终端 IP 配置、网络排查。</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3）定期巡检：每季度</w:t>
      </w:r>
      <w:r>
        <w:rPr>
          <w:rFonts w:hint="eastAsia" w:ascii="宋体" w:hAnsi="宋体" w:cs="宋体"/>
          <w:color w:val="auto"/>
          <w:sz w:val="24"/>
          <w:szCs w:val="24"/>
          <w:highlight w:val="none"/>
          <w:lang w:val="en-US" w:eastAsia="zh-CN"/>
        </w:rPr>
        <w:t xml:space="preserve">首月</w:t>
      </w:r>
      <w:r>
        <w:rPr>
          <w:rFonts w:hint="eastAsia" w:ascii="宋体" w:hAnsi="宋体" w:eastAsia="宋体" w:cs="宋体"/>
          <w:color w:val="auto"/>
          <w:sz w:val="24"/>
          <w:szCs w:val="24"/>
          <w:highlight w:val="none"/>
          <w:lang w:val="en-US" w:eastAsia="zh-CN"/>
        </w:rPr>
        <w:t xml:space="preserve">开展一次全院计算机及外设全面巡查、设备盘点、清洁除尘、硬件检测、线缆整理，留存巡检清单与报告。（供应商入场需立即实施一次）。</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4）网络运维：负责接入交换机至终端的链路排查、简单网络配置、线路整理，保障终端网络稳定（仅负责终端网线、桌面 IP、电脑网卡调试，核心网络设备、机房主干线路、防火墙、服务器不在服务范围内；交换机硬件故障、医院信息系统故障不属于本维保范围）。</w:t>
      </w:r>
      <w:r/>
    </w:p>
    <w:p>
      <w:pPr>
        <w:pStyle w:val="756"/>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3）新增 / 替换设备要求</w:t>
      </w:r>
      <w:r/>
    </w:p>
    <w:p>
      <w:pPr>
        <w:pStyle w:val="756"/>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w:t>
      </w:r>
      <w:r>
        <w:rPr>
          <w:rFonts w:hint="eastAsia" w:ascii="宋体" w:hAnsi="宋体" w:cs="宋体"/>
          <w:color w:val="auto"/>
          <w:sz w:val="24"/>
          <w:szCs w:val="24"/>
          <w:highlight w:val="none"/>
          <w:lang w:val="en-US" w:eastAsia="zh-CN"/>
        </w:rPr>
        <w:t xml:space="preserve">为保证采购人业务工作不受中断和影响，供应商需</w:t>
      </w:r>
      <w:r>
        <w:rPr>
          <w:rFonts w:hint="eastAsia" w:ascii="宋体" w:hAnsi="宋体" w:eastAsia="宋体" w:cs="宋体"/>
          <w:color w:val="auto"/>
          <w:sz w:val="24"/>
          <w:szCs w:val="24"/>
          <w:highlight w:val="none"/>
          <w:lang w:val="en-US" w:eastAsia="zh-CN"/>
        </w:rPr>
        <w:t xml:space="preserve">一次性免费提供10套台式机电脑（含显示器）用于采购人更新</w:t>
      </w:r>
      <w:r>
        <w:rPr>
          <w:rFonts w:hint="eastAsia" w:ascii="宋体" w:hAnsi="宋体" w:cs="宋体"/>
          <w:color w:val="auto"/>
          <w:sz w:val="24"/>
          <w:szCs w:val="24"/>
          <w:highlight w:val="none"/>
          <w:lang w:val="en-US" w:eastAsia="zh-CN"/>
        </w:rPr>
        <w:t xml:space="preserve">和替换</w:t>
      </w:r>
      <w:r>
        <w:rPr>
          <w:rFonts w:hint="eastAsia" w:ascii="宋体" w:hAnsi="宋体" w:eastAsia="宋体" w:cs="宋体"/>
          <w:color w:val="auto"/>
          <w:sz w:val="24"/>
          <w:szCs w:val="24"/>
          <w:highlight w:val="none"/>
          <w:lang w:val="en-US" w:eastAsia="zh-CN"/>
        </w:rPr>
        <w:t xml:space="preserve">设备，新设备性能要求不得低于如下配置。该批设备资产所属归采购人所有，同时纳入整体运维服务范围，其维修服务同样适用本项目条款。相关全部成本由响应供应商综合测算并计入响应总价中。</w:t>
      </w:r>
      <w:r/>
    </w:p>
    <w:tbl>
      <w:tblPr>
        <w:tblStyle w:val="731"/>
        <w:tblW w:w="9066"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7146"/>
      </w:tblGrid>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项目</w:t>
            </w:r>
            <w:r/>
          </w:p>
        </w:tc>
        <w:tc>
          <w:tcPr>
            <w:tcW w:w="714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技术参数要求</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CPU</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Intel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i5-13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AMD R5 7600</w:t>
            </w:r>
            <w:r/>
          </w:p>
        </w:tc>
      </w:tr>
      <w:tr>
        <w:trPr>
          <w:trHeight w:val="305"/>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内存</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≥16G DDR</w:t>
            </w:r>
            <w:r>
              <w:rPr>
                <w:rFonts w:hint="eastAsia" w:ascii="宋体" w:hAnsi="宋体" w:eastAsia="宋体" w:cs="宋体"/>
                <w:color w:val="auto"/>
                <w:sz w:val="24"/>
                <w:szCs w:val="24"/>
                <w:highlight w:val="none"/>
                <w:lang w:val="en-US" w:eastAsia="zh-CN"/>
              </w:rPr>
              <w:t xml:space="preserve">4 32</w:t>
            </w:r>
            <w:r>
              <w:rPr>
                <w:rFonts w:hint="eastAsia" w:ascii="宋体" w:hAnsi="宋体" w:eastAsia="宋体" w:cs="宋体"/>
                <w:color w:val="auto"/>
                <w:sz w:val="24"/>
                <w:szCs w:val="24"/>
                <w:highlight w:val="none"/>
              </w:rPr>
              <w:t xml:space="preserve">00MHz</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显卡</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集成显卡</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硬盘</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1TB</w:t>
            </w:r>
            <w:r>
              <w:rPr>
                <w:rFonts w:hint="eastAsia" w:ascii="宋体" w:hAnsi="宋体" w:eastAsia="宋体" w:cs="宋体"/>
                <w:color w:val="auto"/>
                <w:sz w:val="24"/>
                <w:szCs w:val="24"/>
                <w:highlight w:val="none"/>
              </w:rPr>
              <w:t xml:space="preserve"> M.2 NVMe SSD固态硬盘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M.2接口读写速度≥3000M/s</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网卡</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10/100/1000以太网卡</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扩展槽</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≥1个PCIe x1 插槽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≥1个PCIe x16 插槽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个M.2 插槽</w:t>
            </w:r>
            <w:r>
              <w:rPr>
                <w:rFonts w:hint="eastAsia" w:ascii="宋体" w:hAnsi="宋体" w:eastAsia="宋体" w:cs="宋体"/>
                <w:color w:val="auto"/>
                <w:sz w:val="24"/>
                <w:szCs w:val="24"/>
                <w:highlight w:val="none"/>
                <w:lang w:eastAsia="zh-CN"/>
              </w:rPr>
              <w:t xml:space="preserve">。</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键盘，鼠标</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含键鼠</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接口</w:t>
            </w:r>
            <w:r/>
          </w:p>
        </w:tc>
        <w:tc>
          <w:tcPr>
            <w:tcW w:w="7146" w:type="dxa"/>
            <w:vAlign w:val="center"/>
            <w:textDirection w:val="lrTb"/>
            <w:noWrap w:val="false"/>
          </w:tcPr>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整机USB接口≥</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整机USB3.2接口≥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HDMI</w:t>
            </w:r>
            <w:r>
              <w:rPr>
                <w:rFonts w:hint="eastAsia" w:ascii="宋体" w:hAnsi="宋体" w:eastAsia="宋体" w:cs="宋体"/>
                <w:color w:val="auto"/>
                <w:sz w:val="24"/>
                <w:szCs w:val="24"/>
                <w:highlight w:val="none"/>
                <w:lang w:val="en-US" w:eastAsia="zh-CN"/>
              </w:rPr>
              <w:t xml:space="preserve"> 1.4</w:t>
            </w:r>
            <w:r>
              <w:rPr>
                <w:rFonts w:hint="eastAsia" w:ascii="宋体" w:hAnsi="宋体" w:eastAsia="宋体" w:cs="宋体"/>
                <w:color w:val="auto"/>
                <w:sz w:val="24"/>
                <w:szCs w:val="24"/>
                <w:highlight w:val="none"/>
              </w:rPr>
              <w:t xml:space="preserve">接口≥1个，DP接口≥1个</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显示器</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≥23.8寸及以上IPS</w:t>
            </w:r>
            <w:r>
              <w:rPr>
                <w:rFonts w:hint="eastAsia" w:ascii="宋体" w:hAnsi="宋体" w:eastAsia="宋体" w:cs="宋体"/>
                <w:color w:val="auto"/>
                <w:sz w:val="24"/>
                <w:szCs w:val="24"/>
                <w:highlight w:val="none"/>
                <w:lang w:val="en-US" w:eastAsia="zh-CN"/>
              </w:rPr>
              <w:t xml:space="preserve"> 面板</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1个</w:t>
            </w:r>
            <w:r>
              <w:rPr>
                <w:rFonts w:hint="eastAsia" w:ascii="宋体" w:hAnsi="宋体" w:eastAsia="宋体" w:cs="宋体"/>
                <w:color w:val="auto"/>
                <w:sz w:val="24"/>
                <w:szCs w:val="24"/>
                <w:highlight w:val="none"/>
              </w:rPr>
              <w:t xml:space="preserve">HDMI</w:t>
            </w:r>
            <w:r>
              <w:rPr>
                <w:rFonts w:hint="eastAsia" w:ascii="宋体" w:hAnsi="宋体" w:eastAsia="宋体" w:cs="宋体"/>
                <w:color w:val="auto"/>
                <w:sz w:val="24"/>
                <w:szCs w:val="24"/>
                <w:highlight w:val="none"/>
                <w:lang w:val="en-US" w:eastAsia="zh-CN"/>
              </w:rPr>
              <w:t xml:space="preserve">接口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1个</w:t>
            </w:r>
            <w:r>
              <w:rPr>
                <w:rFonts w:hint="eastAsia" w:ascii="宋体" w:hAnsi="宋体" w:eastAsia="宋体" w:cs="宋体"/>
                <w:color w:val="auto"/>
                <w:sz w:val="24"/>
                <w:szCs w:val="24"/>
                <w:highlight w:val="none"/>
              </w:rPr>
              <w:t xml:space="preserve">D</w:t>
            </w:r>
            <w:r>
              <w:rPr>
                <w:rFonts w:hint="eastAsia" w:ascii="宋体" w:hAnsi="宋体" w:eastAsia="宋体" w:cs="宋体"/>
                <w:color w:val="auto"/>
                <w:sz w:val="24"/>
                <w:szCs w:val="24"/>
                <w:highlight w:val="none"/>
                <w:lang w:val="en-US" w:eastAsia="zh-CN"/>
              </w:rPr>
              <w:t xml:space="preserve">P接口</w:t>
            </w:r>
            <w:r>
              <w:rPr>
                <w:rFonts w:hint="eastAsia" w:ascii="宋体" w:hAnsi="宋体" w:eastAsia="宋体" w:cs="宋体"/>
                <w:color w:val="auto"/>
                <w:sz w:val="24"/>
                <w:szCs w:val="24"/>
                <w:highlight w:val="none"/>
              </w:rPr>
              <w:t xml:space="preserve">，分辨率不低于2560*1440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与主机同一品牌，含DP线材。</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电源</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300</w:t>
            </w:r>
            <w:r>
              <w:rPr>
                <w:rFonts w:hint="eastAsia" w:ascii="宋体" w:hAnsi="宋体" w:eastAsia="宋体" w:cs="宋体"/>
                <w:color w:val="auto"/>
                <w:sz w:val="24"/>
                <w:szCs w:val="24"/>
                <w:highlight w:val="none"/>
              </w:rPr>
              <w:t xml:space="preserve">W 节能电源，</w:t>
            </w:r>
            <w:r>
              <w:rPr>
                <w:rFonts w:hint="eastAsia" w:ascii="宋体" w:hAnsi="宋体" w:eastAsia="宋体" w:cs="宋体"/>
                <w:color w:val="auto"/>
                <w:sz w:val="24"/>
                <w:szCs w:val="24"/>
                <w:highlight w:val="none"/>
                <w:lang w:val="en-US" w:eastAsia="zh-CN"/>
              </w:rPr>
              <w:t xml:space="preserve">含国标电源线。</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机箱</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机箱体积≥1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L。</w:t>
            </w:r>
            <w:r/>
          </w:p>
        </w:tc>
      </w:tr>
      <w:tr>
        <w:trPr/>
        <w:tc>
          <w:tcPr>
            <w:tcW w:w="1920"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操作系统</w:t>
            </w:r>
            <w:r/>
          </w:p>
        </w:tc>
        <w:tc>
          <w:tcPr>
            <w:tcW w:w="7146" w:type="dxa"/>
            <w:vAlign w:val="center"/>
            <w:textDirection w:val="lrTb"/>
            <w:noWrap w:val="false"/>
          </w:tcPr>
          <w:p>
            <w:pPr>
              <w:ind w:left="0" w:right="0"/>
              <w:jc w:val="both"/>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操作系统：原厂预装正版Windows操作系统</w:t>
            </w:r>
            <w:r/>
          </w:p>
        </w:tc>
      </w:tr>
    </w:tbl>
    <w:p>
      <w:pPr>
        <w:pStyle w:val="756"/>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使用年限≥6 年的设备：故障无法修复时，同一设备1个月内故障维修≥3 次仍无法稳定运行，供应商须提交书面报废申请，经采购人确认后再行报损，设备由采购人收回；</w:t>
      </w:r>
      <w:r/>
    </w:p>
    <w:p>
      <w:pPr>
        <w:pStyle w:val="756"/>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使用年限＜6 年的设备：故障无法修复或运行速度影响采购人业务工作的，供应商须及时免费提供备用机。</w:t>
      </w:r>
      <w:r/>
    </w:p>
    <w:p>
      <w:pPr>
        <w:ind w:left="0"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lang w:val="en-US" w:eastAsia="zh-CN"/>
        </w:rPr>
        <w:t xml:space="preserve">3、其他要求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（1）移机服务：服务范围内计算机、打印复印设备有移机需求时，成交供应商须提供免费拆机、装机、线路调试、网络配置服务。</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lang w:val="en-US" w:eastAsia="zh-CN"/>
        </w:rPr>
        <w:t xml:space="preserve">（2）业务保障：采购人因业务发展，每年新增计算机、打印复印设备不高于进场盘点设备总量的 5%，三年累计新增设备总量上限为原始基数 15%，其限额内新增设备的维保工作和配件、常规耗材</w:t>
      </w:r>
      <w:r>
        <w:rPr>
          <w:rFonts w:hint="eastAsia" w:ascii="宋体" w:hAnsi="宋体" w:eastAsia="宋体" w:cs="宋体"/>
          <w:strike w:val="0"/>
          <w:color w:val="auto"/>
          <w:sz w:val="24"/>
          <w:szCs w:val="24"/>
          <w:highlight w:val="none"/>
          <w:lang w:val="en-US" w:eastAsia="zh-CN"/>
        </w:rPr>
        <w:t xml:space="preserve">的供应均</w:t>
      </w:r>
      <w:r>
        <w:rPr>
          <w:rFonts w:hint="eastAsia" w:ascii="宋体" w:hAnsi="宋体" w:cs="宋体"/>
          <w:strike w:val="0"/>
          <w:color w:val="auto"/>
          <w:sz w:val="24"/>
          <w:szCs w:val="24"/>
          <w:highlight w:val="none"/>
          <w:lang w:val="en-US" w:eastAsia="zh-CN"/>
        </w:rPr>
        <w:t xml:space="preserve">由</w:t>
      </w:r>
      <w:r>
        <w:rPr>
          <w:rFonts w:hint="eastAsia" w:ascii="宋体" w:hAnsi="宋体" w:eastAsia="宋体" w:cs="宋体"/>
          <w:strike w:val="0"/>
          <w:color w:val="auto"/>
          <w:sz w:val="24"/>
          <w:szCs w:val="24"/>
          <w:highlight w:val="none"/>
          <w:lang w:val="en-US" w:eastAsia="zh-CN"/>
        </w:rPr>
        <w:t xml:space="preserve">供应商承担！</w:t>
      </w:r>
      <w:r>
        <w:rPr>
          <w:rFonts w:hint="eastAsia" w:ascii="宋体" w:hAnsi="宋体" w:cs="宋体"/>
          <w:color w:val="auto"/>
          <w:sz w:val="24"/>
          <w:szCs w:val="24"/>
          <w:highlight w:val="none"/>
          <w:lang w:val="en-US" w:eastAsia="zh-CN"/>
        </w:rPr>
        <w:t xml:space="preserve">涉及的</w:t>
      </w:r>
      <w:r>
        <w:rPr>
          <w:rFonts w:hint="eastAsia" w:ascii="宋体" w:hAnsi="宋体" w:eastAsia="宋体" w:cs="宋体"/>
          <w:color w:val="auto"/>
          <w:sz w:val="24"/>
          <w:szCs w:val="24"/>
          <w:highlight w:val="none"/>
          <w:lang w:val="en-US" w:eastAsia="zh-CN"/>
        </w:rPr>
        <w:t xml:space="preserve">全部成本由投标人综合测算并计入投标总价，不再另行收费。</w:t>
      </w:r>
      <w:r/>
    </w:p>
    <w:p>
      <w:pPr>
        <w:ind w:left="0" w:firstLine="480"/>
        <w:jc w:val="left"/>
        <w:keepLines w:val="0"/>
        <w:keepNext w:val="0"/>
        <w:pageBreakBefore w:val="0"/>
        <w:spacing w:line="520" w:lineRule="exact"/>
        <w:widowControl w:val="off"/>
        <w:rPr>
          <w:rFonts w:ascii="宋体" w:hAnsi="宋体" w:cs="宋体"/>
          <w:color w:val="auto"/>
          <w:sz w:val="24"/>
          <w:highlight w:val="none"/>
        </w:rPr>
        <w:outlineLvl w:val="3"/>
      </w:pPr>
      <w:r>
        <w:rPr>
          <w:rFonts w:hint="eastAsia" w:ascii="宋体" w:hAnsi="宋体" w:eastAsia="宋体" w:cs="宋体"/>
          <w:color w:val="auto"/>
          <w:sz w:val="24"/>
          <w:szCs w:val="24"/>
          <w:highlight w:val="none"/>
          <w:lang w:val="en-US" w:eastAsia="zh-CN"/>
        </w:rPr>
        <w:t xml:space="preserve">（3）平台支持：</w:t>
      </w:r>
      <w:r>
        <w:rPr>
          <w:rFonts w:ascii="宋体" w:hAnsi="宋体" w:cs="宋体"/>
          <w:color w:val="auto"/>
          <w:sz w:val="24"/>
          <w:highlight w:val="none"/>
        </w:rPr>
        <w:t xml:space="preserve">为全面提升项目运行管理效率，实时掌握项目服务情况，本项目应采用信息化技术对</w:t>
      </w:r>
      <w:r>
        <w:rPr>
          <w:rFonts w:hint="eastAsia" w:ascii="宋体" w:hAnsi="宋体" w:cs="宋体"/>
          <w:color w:val="auto"/>
          <w:sz w:val="24"/>
          <w:highlight w:val="none"/>
          <w:lang w:val="en-US" w:eastAsia="zh-CN"/>
        </w:rPr>
        <w:t xml:space="preserve">维保</w:t>
      </w:r>
      <w:r>
        <w:rPr>
          <w:rFonts w:ascii="宋体" w:hAnsi="宋体" w:cs="宋体"/>
          <w:color w:val="auto"/>
          <w:sz w:val="24"/>
          <w:highlight w:val="none"/>
        </w:rPr>
        <w:t xml:space="preserve">服务进行数字化、网络化管理，</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具备成熟运维管理信息平台支撑，可实现对本项目全周期实施、日常运维、故障处置、耗材更换等服务环节信息化闭环管控。</w:t>
      </w:r>
      <w:r>
        <w:rPr>
          <w:rFonts w:hint="eastAsia" w:ascii="宋体" w:hAnsi="宋体" w:cs="宋体"/>
          <w:color w:val="auto"/>
          <w:sz w:val="24"/>
          <w:highlight w:val="none"/>
        </w:rPr>
        <w:t xml:space="preserve">实现数据共享和流程优化，收集并分析服务数据，评估服务效果，为持续改进</w:t>
      </w:r>
      <w:r>
        <w:rPr>
          <w:rFonts w:hint="eastAsia" w:ascii="宋体" w:hAnsi="宋体" w:cs="宋体"/>
          <w:color w:val="auto"/>
          <w:sz w:val="24"/>
          <w:highlight w:val="none"/>
          <w:lang w:val="en-US" w:eastAsia="zh-CN"/>
        </w:rPr>
        <w:t xml:space="preserve">维保</w:t>
      </w:r>
      <w:r>
        <w:rPr>
          <w:rFonts w:hint="eastAsia" w:ascii="宋体" w:hAnsi="宋体" w:cs="宋体"/>
          <w:color w:val="auto"/>
          <w:sz w:val="24"/>
          <w:highlight w:val="none"/>
        </w:rPr>
        <w:t xml:space="preserve">服务提供依据，同时确保数据的安全性和系统的稳定性。</w:t>
      </w:r>
      <w:bookmarkEnd w:id="197"/>
      <w:r/>
    </w:p>
    <w:p>
      <w:pPr>
        <w:ind w:left="0"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（二）档案与台账管理要求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1.设备台账：进场后15个工作日内建立全院计算机、打印设备、外设设备的电子 + 纸质台账，注明设备名称、型号、安装位置等，每季度更新。</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2.故障档案：实行 “一故障一档案”，记录报修时间、地点、故障现象、到场时间、处置过程、修复结果、现场照片，电子档实时更新，纸质档案每月归档。</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3.巡检 / 月度报告：</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•每次巡检完成后 3 个工作日内提交对应记录及现场照片。</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 10 日前提交上月完整月度报告，包含耗材使用明细、维修记录、问题分析、优化建议。</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4.档案要求：同时提供电子档 + 纸质档，纸质档一式两份（甲乙双方各执），电子档存储至采购人指定服务器，采购人可随时查阅调取。</w:t>
      </w:r>
      <w:r/>
    </w:p>
    <w:p>
      <w:pPr>
        <w:ind w:left="0"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lang w:eastAsia="zh-CN"/>
        </w:rPr>
        <w:outlineLvl w:val="3"/>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）人员及实施要求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1、总体值守要求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服务期内提供7×24 小时电话响应，安排专职人员提供白班驻场服务，驻场时间与采购人上班下班时间一致（不含夜班），保障两院区及各服务点位报修及时处置，节假日正常排班值守。</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2、人员配置要求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u w:val="single"/>
          <w:lang w:val="en-US" w:eastAsia="zh-CN"/>
        </w:rPr>
        <w:t xml:space="preserve">常驻运维工程师总人数不少于 3 人</w:t>
      </w:r>
      <w:r>
        <w:rPr>
          <w:rFonts w:hint="eastAsia" w:ascii="宋体" w:hAnsi="宋体" w:eastAsia="宋体" w:cs="宋体"/>
          <w:color w:val="auto"/>
          <w:sz w:val="24"/>
          <w:szCs w:val="24"/>
          <w:highlight w:val="none"/>
          <w:lang w:val="en-US" w:eastAsia="zh-CN"/>
        </w:rPr>
        <w:t xml:space="preserve">，定岗划分：济川路院区固定驻场 2 人，邑庙街院区固定驻场 1 人；法定节假日、周末休息日须保障在岗工程师不少于 2 人，服务范围覆盖济川路院区、邑庙街院区及全部外部延伸服务点位，确保故障及时处置。</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人员基本资质与技能要求：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所有驻场工程师须为供应商正式在岗员工；无违法违纪、行业失信记录；</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拥有办公打印复印设备、计算机外设维修实操经验；</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可独立完成打印机、复印机、一体机、电脑等设备日常巡检、保养、耗材更换、硬件故障拆装维修，可快速排查并解决卡纸、成像故障、硬件损坏、驱动异常等常见问题；</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遵守</w:t>
      </w:r>
      <w:r>
        <w:rPr>
          <w:rFonts w:hint="eastAsia" w:ascii="宋体" w:hAnsi="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院区管理、</w:t>
      </w:r>
      <w:r>
        <w:rPr>
          <w:rFonts w:hint="eastAsia" w:ascii="宋体" w:hAnsi="宋体" w:cs="宋体"/>
          <w:color w:val="auto"/>
          <w:sz w:val="24"/>
          <w:szCs w:val="24"/>
          <w:highlight w:val="none"/>
          <w:lang w:val="en-US" w:eastAsia="zh-CN" w:bidi="ar-SA"/>
        </w:rPr>
        <w:t xml:space="preserve">院感、</w:t>
      </w:r>
      <w:r>
        <w:rPr>
          <w:rFonts w:hint="eastAsia" w:ascii="宋体" w:hAnsi="宋体" w:eastAsia="宋体" w:cs="宋体"/>
          <w:color w:val="auto"/>
          <w:sz w:val="24"/>
          <w:szCs w:val="24"/>
          <w:highlight w:val="none"/>
          <w:lang w:val="en-US" w:eastAsia="zh-CN" w:bidi="ar-SA"/>
        </w:rPr>
        <w:t xml:space="preserve">消防安全等相关管理制度，沟通规范，具备应急抢修意识；</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项目服务期内人员如需调岗、离职更换，供应商须至少提前 7 个工作日提交书面申请，同步报送替补人员全套资质材料，经采购人审核通过后方可完成人员更替，更替期间不得出现运维空档。</w:t>
      </w:r>
      <w:r/>
    </w:p>
    <w:p>
      <w:pPr>
        <w:numPr>
          <w:ilvl w:val="0"/>
          <w:numId w:val="0"/>
        </w:num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b/>
          <w:bCs/>
          <w:color w:val="auto"/>
          <w:sz w:val="24"/>
          <w:szCs w:val="24"/>
          <w:highlight w:val="none"/>
          <w:u w:val="single"/>
          <w:lang w:val="en-US" w:eastAsia="zh-CN"/>
        </w:rPr>
        <w:t xml:space="preserve">除常驻运维工程师外本项目应</w:t>
      </w:r>
      <w:r>
        <w:rPr>
          <w:rFonts w:hint="eastAsia" w:ascii="宋体" w:hAnsi="宋体" w:eastAsia="宋体" w:cs="宋体"/>
          <w:b/>
          <w:bCs/>
          <w:color w:val="auto"/>
          <w:sz w:val="24"/>
          <w:szCs w:val="24"/>
          <w:highlight w:val="none"/>
          <w:u w:val="single"/>
          <w:lang w:val="en-US" w:eastAsia="zh-CN"/>
        </w:rPr>
        <w:t xml:space="preserve">配置专职项目负责人（项目经理）1 名</w:t>
      </w:r>
      <w:r>
        <w:rPr>
          <w:rFonts w:hint="eastAsia" w:ascii="宋体" w:hAnsi="宋体" w:eastAsia="宋体" w:cs="宋体"/>
          <w:color w:val="auto"/>
          <w:sz w:val="24"/>
          <w:szCs w:val="24"/>
          <w:highlight w:val="none"/>
          <w:lang w:val="en-US" w:eastAsia="zh-CN"/>
        </w:rPr>
        <w:t xml:space="preserve">，不要求全天驻场；全面负责本项目整体运维统筹、驻场工程师排班考核、与采购人各科室日常对接、运维记录及故障处理报告审核、重大疑难故障协调处置、各类服务投诉闭环处理、月度服务总结、耗材计划统筹管理等全流程工作。</w:t>
      </w:r>
      <w:r/>
    </w:p>
    <w:p>
      <w:pPr>
        <w:numPr>
          <w:ilvl w:val="0"/>
          <w:numId w:val="0"/>
        </w:num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人员基本资质与技能要求：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•具备办公设备或信息化运维项目统筹管理经验；</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•精通各类打印、复印、计算机外设设备结构原理，具备设备故障综合判定、维修方案制定能力，可远程或到场指导工程师处理复杂疑难故障；</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•具备较强统筹协调、沟通谈判、投诉化解能力，可高效对接院内各职能科室，妥善处置各类服务纠纷；</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u w:val="single"/>
          <w:lang w:val="en-US" w:eastAsia="zh-CN"/>
        </w:rPr>
        <w:t xml:space="preserve">供应商指定 1 名驻场人员为现场负责人，</w:t>
      </w:r>
      <w:r>
        <w:rPr>
          <w:rFonts w:hint="eastAsia" w:ascii="宋体" w:hAnsi="宋体" w:eastAsia="宋体" w:cs="宋体"/>
          <w:color w:val="auto"/>
          <w:sz w:val="24"/>
          <w:szCs w:val="24"/>
          <w:highlight w:val="none"/>
          <w:lang w:val="en-US" w:eastAsia="zh-CN"/>
        </w:rPr>
        <w:t xml:space="preserve">全权管理驻场团队、分配工作、上报问题、落实应急处置。</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（4）若发现派驻人员不能胜任工作，采购人有权提出更换要求，直至派驻人员能够胜任现场工作为止。同时，对于不胜任的人员，采购人有权对成交供应商处以每人不少于5000元的处罚，并从履约保证金中扣除。</w:t>
      </w:r>
      <w:r/>
    </w:p>
    <w:p>
      <w:pPr>
        <w:ind w:left="0" w:firstLine="482"/>
        <w:jc w:val="left"/>
        <w:keepLines w:val="0"/>
        <w:keepNext w:val="0"/>
        <w:pageBreakBefore w:val="0"/>
        <w:spacing w:line="52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lang w:val="en-US" w:eastAsia="zh-CN"/>
        </w:rPr>
        <w:t xml:space="preserve">供应商须在响应文件中提供项目实施拟服务人员花名册、响应前连续</w:t>
      </w:r>
      <w:r>
        <w:rPr>
          <w:rFonts w:hint="eastAsia" w:ascii="宋体" w:hAnsi="宋体" w:cs="宋体"/>
          <w:b/>
          <w:bCs/>
          <w:i/>
          <w:iCs/>
          <w:color w:val="auto"/>
          <w:sz w:val="24"/>
          <w:szCs w:val="24"/>
          <w:highlight w:val="none"/>
          <w:u w:val="single"/>
          <w:lang w:val="en-US" w:eastAsia="zh-CN"/>
        </w:rPr>
        <w:t xml:space="preserve">六</w:t>
      </w:r>
      <w:r>
        <w:rPr>
          <w:rFonts w:hint="eastAsia" w:ascii="宋体" w:hAnsi="宋体" w:eastAsia="宋体" w:cs="宋体"/>
          <w:b/>
          <w:bCs/>
          <w:i/>
          <w:iCs/>
          <w:color w:val="auto"/>
          <w:sz w:val="24"/>
          <w:szCs w:val="24"/>
          <w:highlight w:val="none"/>
          <w:u w:val="single"/>
          <w:lang w:val="en-US" w:eastAsia="zh-CN"/>
        </w:rPr>
        <w:t xml:space="preserve">个月内任一月（不含响应当月）社保缴纳证明、身份证复印件，并加盖供应商公章。</w:t>
      </w:r>
      <w:r/>
    </w:p>
    <w:p>
      <w:pPr>
        <w:pStyle w:val="921"/>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4、服务时效</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（1）故障响应：接到报修后5 分钟内响应，15分钟到达现场，一般故障30分钟内修复。</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（2）无法即时修复的打印设备：1小时内架设备用机，24 小时内完成原设备维修并换回。</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（3）重大故障、批量设备故障，2 小时内向采购人书面汇报故障原因、处置方案及进度。</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（4）重大活动、诊疗高峰期，提前做好设备全面排查，落实应急备用设备与人员。</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若遇突发事件、重大应急保障、集中维保整改、日常值守人员不足等特殊情况，现有在岗及备班人员无法满足现场处置需求时，供应商须无条件启动应急人员增援机制，在接到采购人书面或口头通知后30分钟内，增派具备对应系统实操能力的专业技术人员赶赴现场支援，全力保障正常运行，增援人员及相关费用均由供应商自行承担，采购人不另行支付任何额外费用。</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5、现场管理与安全要求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（1）所有工作人员须服从采购人管理，遵守采购人相关规章制度，着装规范、文明服务，诊疗区域作业时不得干扰正常医疗秩序。</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（2）作业做到工完场清，做好成品保护，严禁损坏院内设备、装修、线路等。</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（3）严格落实安全生产规范，因操作失误、管理不当造成设备损坏、人员伤害、财产损失的，全部责任及费用由供应商承担。</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6、保密要求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所有服务人员签订保密协议，严禁拷贝、外传院内数据、患者信息、办公资料、影像内容等；维修设备不得带离院区，涉密设备现场维修，违者追究法律责任。</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7、其他要求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（1）免费提供设备、软件、配件的安装、调试、试运行服务，不得额外收取任何费用。</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（2）保证所提供产品、服务无知识产权纠纷，涉及专利、商标、侵权问题，全部由供应商自行承担。</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（3）针对批量故障、突发宕机、重大活动等场景制定专项应急预案，定期演练，保障系统/设备稳定运行。</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四、商务要求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报价是根据磋商文件所确定的范围内的全部服务的价格体现，是为完成磋商文件规定的工作所涉及到的一切费用。磋商文件未列明，而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认为必需的费用也需列入报价，采购人不再支付其它任何费用。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2、本项目最高限价为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1590000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的投标报价不得高于最高限价，否则作无效投标文件处理。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3、合同形式：固定总价合同。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4、服务期：</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5、质量标准：合格。</w:t>
      </w:r>
      <w:r/>
    </w:p>
    <w:p>
      <w:pPr>
        <w:ind w:firstLine="480"/>
        <w:spacing w:line="520" w:lineRule="exact"/>
        <w:rPr>
          <w:rFonts w:hint="eastAsia" w:ascii="宋体" w:hAnsi="宋体" w:eastAsia="宋体" w:cs="宋体"/>
          <w:b/>
          <w:bCs/>
          <w:color w:val="auto"/>
          <w:spacing w:val="15"/>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、付款方式：合同签订后，按总成交价平均分6次完成对应款项的支付，即每完成6个月维保任务，成交供应商凭考核结果按期开具合法正式发票(含税)经采购人审批后支付。</w:t>
      </w:r>
      <w:r/>
    </w:p>
    <w:p>
      <w:pPr>
        <w:ind w:righ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、履约保证金：本项目履约保证金为成交价的5%（供应商自主选择以电汇、转账、支票、汇票、 本票（限泰州同城）、保函、保证保险等非现金形式缴纳或提交），服务期满无违约的，采购人在退场交接完成后15个工作日内无息退还。</w:t>
      </w:r>
      <w:r/>
    </w:p>
    <w:p>
      <w:pPr>
        <w:ind w:firstLine="540"/>
        <w:keepLines w:val="0"/>
        <w:keepNext w:val="0"/>
        <w:pageBreakBefore w:val="0"/>
        <w:spacing w:line="520" w:lineRule="exact"/>
        <w:widowControl w:val="off"/>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lang w:val="en-US" w:eastAsia="zh-CN"/>
        </w:rPr>
        <w:t xml:space="preserve">8</w:t>
      </w:r>
      <w:r>
        <w:rPr>
          <w:rFonts w:hint="eastAsia" w:ascii="宋体" w:hAnsi="宋体" w:eastAsia="宋体" w:cs="宋体"/>
          <w:color w:val="auto"/>
          <w:spacing w:val="15"/>
          <w:sz w:val="24"/>
          <w:szCs w:val="24"/>
          <w:highlight w:val="none"/>
        </w:rPr>
        <w:t xml:space="preserve">、签订合同后，成交</w:t>
      </w:r>
      <w:r>
        <w:rPr>
          <w:rFonts w:hint="eastAsia" w:ascii="宋体" w:hAnsi="宋体" w:eastAsia="宋体" w:cs="宋体"/>
          <w:color w:val="auto"/>
          <w:spacing w:val="15"/>
          <w:sz w:val="24"/>
          <w:szCs w:val="24"/>
          <w:highlight w:val="none"/>
          <w:lang w:eastAsia="zh-CN"/>
        </w:rPr>
        <w:t xml:space="preserve">供应商</w:t>
      </w:r>
      <w:r>
        <w:rPr>
          <w:rFonts w:hint="eastAsia" w:ascii="宋体" w:hAnsi="宋体" w:eastAsia="宋体" w:cs="宋体"/>
          <w:color w:val="auto"/>
          <w:spacing w:val="15"/>
          <w:sz w:val="24"/>
          <w:szCs w:val="24"/>
          <w:highlight w:val="none"/>
        </w:rPr>
        <w:t xml:space="preserve">不得进行转包。未经采购人同意，成交</w:t>
      </w:r>
      <w:r>
        <w:rPr>
          <w:rFonts w:hint="eastAsia" w:ascii="宋体" w:hAnsi="宋体" w:eastAsia="宋体" w:cs="宋体"/>
          <w:color w:val="auto"/>
          <w:spacing w:val="15"/>
          <w:sz w:val="24"/>
          <w:szCs w:val="24"/>
          <w:highlight w:val="none"/>
          <w:lang w:eastAsia="zh-CN"/>
        </w:rPr>
        <w:t xml:space="preserve">供应商</w:t>
      </w:r>
      <w:r>
        <w:rPr>
          <w:rFonts w:hint="eastAsia" w:ascii="宋体" w:hAnsi="宋体" w:eastAsia="宋体" w:cs="宋体"/>
          <w:color w:val="auto"/>
          <w:spacing w:val="15"/>
          <w:sz w:val="24"/>
          <w:szCs w:val="24"/>
          <w:highlight w:val="none"/>
        </w:rPr>
        <w:t xml:space="preserve">不得采用分包的形式履行合同。否则采购人有权终止合同。转包或分包造成采购人损失的，成交</w:t>
      </w:r>
      <w:r>
        <w:rPr>
          <w:rFonts w:hint="eastAsia" w:ascii="宋体" w:hAnsi="宋体" w:eastAsia="宋体" w:cs="宋体"/>
          <w:color w:val="auto"/>
          <w:spacing w:val="15"/>
          <w:sz w:val="24"/>
          <w:szCs w:val="24"/>
          <w:highlight w:val="none"/>
          <w:lang w:eastAsia="zh-CN"/>
        </w:rPr>
        <w:t xml:space="preserve">供应商</w:t>
      </w:r>
      <w:r>
        <w:rPr>
          <w:rFonts w:hint="eastAsia" w:ascii="宋体" w:hAnsi="宋体" w:eastAsia="宋体" w:cs="宋体"/>
          <w:color w:val="auto"/>
          <w:spacing w:val="15"/>
          <w:sz w:val="24"/>
          <w:szCs w:val="24"/>
          <w:highlight w:val="none"/>
        </w:rPr>
        <w:t xml:space="preserve">还应承担相应赔偿责任。</w:t>
      </w:r>
      <w:r/>
    </w:p>
    <w:p>
      <w:pPr>
        <w:ind w:left="0"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服务评价与考核要求</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1）违约处置</w:t>
      </w:r>
      <w:r/>
    </w:p>
    <w:p>
      <w:pPr>
        <w:ind w:left="0" w:firstLine="480"/>
        <w:jc w:val="left"/>
        <w:keepLines w:val="0"/>
        <w:keepNext w:val="0"/>
        <w:pageBreakBefore w:val="0"/>
        <w:spacing w:line="52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（1）擅自转包、违规分包：采购人有权单方</w:t>
      </w:r>
      <w:r>
        <w:rPr>
          <w:rFonts w:hint="eastAsia" w:ascii="宋体" w:hAnsi="宋体" w:eastAsia="宋体" w:cs="宋体"/>
          <w:bCs/>
          <w:strike w:val="0"/>
          <w:color w:val="auto"/>
          <w:sz w:val="24"/>
          <w:szCs w:val="24"/>
          <w:highlight w:val="none"/>
          <w:lang w:val="en-US" w:eastAsia="zh-CN" w:bidi="ar-SA"/>
        </w:rPr>
        <w:t xml:space="preserve">终止合同、扣除全部履约保证金，并追究其违约责任</w:t>
      </w:r>
      <w:r>
        <w:rPr>
          <w:rFonts w:hint="eastAsia" w:ascii="宋体" w:hAnsi="宋体" w:eastAsia="宋体" w:cs="宋体"/>
          <w:strike w:val="0"/>
          <w:color w:val="auto"/>
          <w:sz w:val="24"/>
          <w:szCs w:val="24"/>
          <w:highlight w:val="none"/>
          <w:lang w:val="en-US" w:eastAsia="zh-CN"/>
        </w:rPr>
        <w:t xml:space="preserve">。</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（2）无故推诿报修、拒不服务：按规定扣分，情节严重的</w:t>
      </w:r>
      <w:r>
        <w:rPr>
          <w:rFonts w:hint="eastAsia" w:ascii="宋体" w:hAnsi="宋体" w:eastAsia="宋体" w:cs="宋体"/>
          <w:strike w:val="0"/>
          <w:color w:val="auto"/>
          <w:sz w:val="24"/>
          <w:szCs w:val="24"/>
          <w:highlight w:val="none"/>
          <w:lang w:val="en-US" w:eastAsia="zh-CN"/>
        </w:rPr>
        <w:t xml:space="preserve">采购人有权单方</w:t>
      </w:r>
      <w:r>
        <w:rPr>
          <w:rFonts w:hint="eastAsia" w:ascii="宋体" w:hAnsi="宋体" w:eastAsia="宋体" w:cs="宋体"/>
          <w:color w:val="auto"/>
          <w:sz w:val="24"/>
          <w:szCs w:val="24"/>
          <w:highlight w:val="none"/>
          <w:lang w:val="en-US" w:eastAsia="zh-CN"/>
        </w:rPr>
        <w:t xml:space="preserve">终止合同。</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（3）提供假冒、翻新、二次耗材 / 配件：一经查实，假一罚十，当月考核直接记</w:t>
      </w:r>
      <w:r>
        <w:rPr>
          <w:rFonts w:hint="eastAsia" w:ascii="宋体" w:hAnsi="宋体" w:eastAsia="宋体" w:cs="宋体"/>
          <w:color w:val="auto"/>
          <w:sz w:val="24"/>
          <w:szCs w:val="24"/>
          <w:highlight w:val="none"/>
          <w:u w:val="single"/>
          <w:lang w:val="en-US" w:eastAsia="zh-CN"/>
        </w:rPr>
        <w:t xml:space="preserve">0分</w:t>
      </w:r>
      <w:r>
        <w:rPr>
          <w:rFonts w:hint="eastAsia" w:ascii="宋体" w:hAnsi="宋体" w:eastAsia="宋体" w:cs="宋体"/>
          <w:color w:val="auto"/>
          <w:sz w:val="24"/>
          <w:szCs w:val="24"/>
          <w:highlight w:val="none"/>
          <w:lang w:val="en-US" w:eastAsia="zh-CN"/>
        </w:rPr>
        <w:t xml:space="preserve">，情节严重的</w:t>
      </w:r>
      <w:r>
        <w:rPr>
          <w:rFonts w:hint="eastAsia" w:ascii="宋体" w:hAnsi="宋体" w:eastAsia="宋体" w:cs="宋体"/>
          <w:strike w:val="0"/>
          <w:color w:val="auto"/>
          <w:sz w:val="24"/>
          <w:szCs w:val="24"/>
          <w:highlight w:val="none"/>
          <w:lang w:val="en-US" w:eastAsia="zh-CN"/>
        </w:rPr>
        <w:t xml:space="preserve">采购人有权单方</w:t>
      </w:r>
      <w:r>
        <w:rPr>
          <w:rFonts w:hint="eastAsia" w:ascii="宋体" w:hAnsi="宋体" w:eastAsia="宋体" w:cs="宋体"/>
          <w:bCs/>
          <w:strike w:val="0"/>
          <w:color w:val="auto"/>
          <w:sz w:val="24"/>
          <w:szCs w:val="24"/>
          <w:highlight w:val="none"/>
          <w:lang w:val="en-US" w:eastAsia="zh-CN" w:bidi="ar-SA"/>
        </w:rPr>
        <w:t xml:space="preserve">终止合同、扣除全部履约保证金，并追究其违约责任</w:t>
      </w:r>
      <w:r>
        <w:rPr>
          <w:rFonts w:hint="eastAsia" w:ascii="宋体" w:hAnsi="宋体" w:eastAsia="宋体" w:cs="宋体"/>
          <w:color w:val="auto"/>
          <w:sz w:val="24"/>
          <w:szCs w:val="24"/>
          <w:highlight w:val="none"/>
          <w:lang w:val="en-US" w:eastAsia="zh-CN"/>
        </w:rPr>
        <w:t xml:space="preserve">。</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（4）泄露采购人患者数据、办公涉密内容等相关信息，</w:t>
      </w:r>
      <w:r>
        <w:rPr>
          <w:rFonts w:hint="eastAsia" w:ascii="宋体" w:hAnsi="宋体" w:eastAsia="宋体" w:cs="宋体"/>
          <w:strike w:val="0"/>
          <w:color w:val="auto"/>
          <w:sz w:val="24"/>
          <w:szCs w:val="24"/>
          <w:highlight w:val="none"/>
          <w:lang w:val="en-US" w:eastAsia="zh-CN"/>
        </w:rPr>
        <w:t xml:space="preserve">采购人有权单方</w:t>
      </w:r>
      <w:r>
        <w:rPr>
          <w:rFonts w:hint="eastAsia" w:ascii="宋体" w:hAnsi="宋体" w:eastAsia="宋体" w:cs="宋体"/>
          <w:bCs/>
          <w:strike w:val="0"/>
          <w:color w:val="auto"/>
          <w:sz w:val="24"/>
          <w:szCs w:val="24"/>
          <w:highlight w:val="none"/>
          <w:lang w:val="en-US" w:eastAsia="zh-CN" w:bidi="ar-SA"/>
        </w:rPr>
        <w:t xml:space="preserve">终止合同、扣除全部履约保证金，并</w:t>
      </w:r>
      <w:r>
        <w:rPr>
          <w:rFonts w:hint="eastAsia" w:ascii="宋体" w:hAnsi="宋体" w:eastAsia="宋体" w:cs="宋体"/>
          <w:color w:val="auto"/>
          <w:sz w:val="24"/>
          <w:szCs w:val="24"/>
          <w:highlight w:val="none"/>
          <w:lang w:val="en-US" w:eastAsia="zh-CN"/>
        </w:rPr>
        <w:t xml:space="preserve">追究法律及经济责任。</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2）考核结算规则</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月度考核评分表（满分100 分）</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得分≥90 分：全额支付；</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 分：扣当月费用 5%；</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 分：扣当月费用 10%；</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 分：扣当月费用 20%；</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连续 2 个月＜70 分：限期 15 天提交整改方案，包括且不限于驻场人员增配、优化响应流程等，</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整改后第 3 个月仍低于 70 分，采购人有权单方终止合同，扣除全部履约保证金以及追究成交供应商相关责任。</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考核扣分细则（月度）：</w:t>
      </w:r>
      <w:r/>
    </w:p>
    <w:tbl>
      <w:tblPr>
        <w:tblStyle w:val="731"/>
        <w:tblpPr w:horzAnchor="page" w:tblpXSpec="center" w:vertAnchor="text" w:tblpY="298" w:leftFromText="180" w:topFromText="0" w:rightFromText="180" w:bottomFromText="0"/>
        <w:tblW w:w="4860"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610"/>
        <w:gridCol w:w="1580"/>
        <w:gridCol w:w="766"/>
        <w:gridCol w:w="5068"/>
        <w:gridCol w:w="657"/>
      </w:tblGrid>
      <w:tr>
        <w:trPr>
          <w:jc w:val="center"/>
          <w:trHeight w:val="545"/>
          <w:tblHead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Mar>
              <w:left w:w="120" w:type="dxa"/>
              <w:top w:w="120" w:type="dxa"/>
              <w:right w:w="120" w:type="dxa"/>
              <w:bottom w:w="120" w:type="dxa"/>
            </w:tcMar>
            <w:tcW w:w="1580"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考核项目</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分值</w:t>
            </w:r>
            <w:r/>
          </w:p>
        </w:tc>
        <w:tc>
          <w:tcPr>
            <w:shd w:val="clear" w:color="auto" w:fill="auto"/>
            <w:tcMar>
              <w:left w:w="120" w:type="dxa"/>
              <w:top w:w="120" w:type="dxa"/>
              <w:right w:w="120" w:type="dxa"/>
              <w:bottom w:w="120" w:type="dxa"/>
            </w:tcMar>
            <w:tcW w:w="5068"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考核内容与评分标准</w:t>
            </w:r>
            <w:r/>
          </w:p>
        </w:tc>
        <w:tc>
          <w:tcPr>
            <w:shd w:val="clear" w:color="auto" w:fill="auto"/>
            <w:tcMar>
              <w:left w:w="120" w:type="dxa"/>
              <w:top w:w="120" w:type="dxa"/>
              <w:right w:w="120" w:type="dxa"/>
              <w:bottom w:w="120" w:type="dxa"/>
            </w:tcMar>
            <w:tcW w:w="657"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扣分</w:t>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Mar>
              <w:left w:w="120" w:type="dxa"/>
              <w:top w:w="120" w:type="dxa"/>
              <w:right w:w="120" w:type="dxa"/>
              <w:bottom w:w="120" w:type="dxa"/>
            </w:tcMar>
            <w:tcW w:w="1580"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人员考勤</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迟到、早退单次扣2分，旷工单次扣10分</w:t>
            </w:r>
            <w:r>
              <w:rPr>
                <w:rFonts w:hint="eastAsia" w:ascii="宋体" w:hAnsi="宋体" w:eastAsia="宋体" w:cs="宋体"/>
                <w:color w:val="auto"/>
                <w:sz w:val="24"/>
                <w:szCs w:val="24"/>
                <w:highlight w:val="none"/>
                <w:lang w:eastAsia="zh-CN"/>
              </w:rPr>
              <w:t xml:space="preserve">；</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库房管理</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库房管理不规范、备品不足，单次扣5分</w:t>
            </w:r>
            <w:r>
              <w:rPr>
                <w:rFonts w:hint="eastAsia" w:ascii="宋体" w:hAnsi="宋体" w:eastAsia="宋体" w:cs="宋体"/>
                <w:color w:val="auto"/>
                <w:sz w:val="24"/>
                <w:szCs w:val="24"/>
                <w:highlight w:val="none"/>
                <w:lang w:eastAsia="zh-CN"/>
              </w:rPr>
              <w:t xml:space="preserve">；</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配送/维修记录</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维修记录漏项，每处扣1分；</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响应、处置时效</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响应超时、处置超时，单次扣1分；</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故障维修成功率</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故障反复维修、被投诉，单次扣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3"/>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月度服务报告</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Mar>
              <w:left w:w="120" w:type="dxa"/>
              <w:top w:w="120" w:type="dxa"/>
              <w:right w:w="120" w:type="dxa"/>
              <w:bottom w:w="120" w:type="dxa"/>
            </w:tcMar>
            <w:tcW w:w="506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每月10日前提交上月完整月度报告，如因乙方原因无法提供月度报告得，每次扣</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3"/>
        </w:trPr>
        <w:tc>
          <w:tcPr>
            <w:shd w:val="clear" w:color="auto" w:fill="auto"/>
            <w:tcMar>
              <w:left w:w="120" w:type="dxa"/>
              <w:top w:w="120" w:type="dxa"/>
              <w:right w:w="120" w:type="dxa"/>
              <w:bottom w:w="120" w:type="dxa"/>
            </w:tcMar>
            <w:tcW w:w="6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耗材质量</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w:t>
            </w:r>
            <w:r/>
          </w:p>
        </w:tc>
        <w:tc>
          <w:tcPr>
            <w:shd w:val="clear" w:color="auto" w:fill="auto"/>
            <w:tcMar>
              <w:left w:w="120" w:type="dxa"/>
              <w:top w:w="120" w:type="dxa"/>
              <w:right w:w="120" w:type="dxa"/>
              <w:bottom w:w="120" w:type="dxa"/>
            </w:tcMar>
            <w:tcW w:w="5068"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耗材假冒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二次使用，单次扣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00分</w:t>
            </w:r>
            <w:r>
              <w:rPr>
                <w:rFonts w:hint="eastAsia" w:ascii="宋体" w:hAnsi="宋体" w:eastAsia="宋体" w:cs="宋体"/>
                <w:color w:val="auto"/>
                <w:sz w:val="24"/>
                <w:szCs w:val="24"/>
                <w:highlight w:val="none"/>
                <w:lang w:val="en-US" w:eastAsia="zh-CN"/>
              </w:rPr>
              <w:t xml:space="preserve">。</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shd w:val="clear" w:color="auto" w:fill="auto"/>
            <w:tcMar>
              <w:left w:w="120" w:type="dxa"/>
              <w:top w:w="120" w:type="dxa"/>
              <w:right w:w="120" w:type="dxa"/>
              <w:bottom w:w="120" w:type="dxa"/>
            </w:tcMar>
            <w:tcW w:w="61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Mar>
              <w:left w:w="120" w:type="dxa"/>
              <w:top w:w="120" w:type="dxa"/>
              <w:right w:w="120" w:type="dxa"/>
              <w:bottom w:w="120" w:type="dxa"/>
            </w:tcMar>
            <w:tcW w:w="158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合计</w:t>
            </w:r>
            <w:r/>
          </w:p>
        </w:tc>
        <w:tc>
          <w:tcPr>
            <w:shd w:val="clear" w:color="auto" w:fill="auto"/>
            <w:tcMar>
              <w:left w:w="120" w:type="dxa"/>
              <w:top w:w="120" w:type="dxa"/>
              <w:right w:w="120" w:type="dxa"/>
              <w:bottom w:w="120" w:type="dxa"/>
            </w:tcMar>
            <w:tcW w:w="7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100</w:t>
            </w:r>
            <w:r/>
          </w:p>
        </w:tc>
        <w:tc>
          <w:tcPr>
            <w:shd w:val="clear" w:color="auto" w:fill="auto"/>
            <w:tcMar>
              <w:left w:w="120" w:type="dxa"/>
              <w:top w:w="120" w:type="dxa"/>
              <w:right w:w="120" w:type="dxa"/>
              <w:bottom w:w="120" w:type="dxa"/>
            </w:tcMar>
            <w:tcW w:w="5068"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p>
        </w:tc>
        <w:tc>
          <w:tcPr>
            <w:shd w:val="clear" w:color="auto" w:fill="auto"/>
            <w:tcMar>
              <w:left w:w="120" w:type="dxa"/>
              <w:top w:w="120" w:type="dxa"/>
              <w:right w:w="120" w:type="dxa"/>
              <w:bottom w:w="120" w:type="dxa"/>
            </w:tcMar>
            <w:tcW w:w="65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21"/>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r>
      <w:r/>
    </w:p>
    <w:p>
      <w:pPr>
        <w:ind w:firstLine="480"/>
        <w:keepLines w:val="0"/>
        <w:keepNext w:val="0"/>
        <w:pageBreakBefore w:val="0"/>
        <w:spacing w:beforeAutospacing="0" w:afterAutospacing="0" w:line="520" w:lineRule="exact"/>
        <w:rPr>
          <w:rFonts w:hint="eastAsia" w:ascii="宋体" w:hAnsi="宋体" w:cs="仿宋"/>
          <w:b/>
          <w:bCs/>
          <w:i/>
          <w:iCs/>
          <w:color w:val="auto"/>
          <w:sz w:val="24"/>
          <w:szCs w:val="24"/>
          <w:highlight w:val="none"/>
          <w:u w:val="single"/>
          <w:lang w:eastAsia="zh-CN"/>
        </w:rPr>
      </w:pPr>
      <w:r>
        <w:rPr>
          <w:rFonts w:hint="eastAsia" w:ascii="宋体" w:hAnsi="宋体" w:cs="仿宋"/>
          <w:b/>
          <w:bCs/>
          <w:i/>
          <w:iCs/>
          <w:color w:val="auto"/>
          <w:sz w:val="24"/>
          <w:szCs w:val="24"/>
          <w:highlight w:val="none"/>
          <w:u w:val="single"/>
          <w:lang w:val="en-US" w:eastAsia="zh-CN"/>
        </w:rPr>
        <w:t xml:space="preserve">五</w:t>
      </w:r>
      <w:r>
        <w:rPr>
          <w:rFonts w:hint="eastAsia" w:ascii="宋体" w:hAnsi="宋体" w:cs="仿宋"/>
          <w:b/>
          <w:bCs/>
          <w:i/>
          <w:iCs/>
          <w:color w:val="auto"/>
          <w:sz w:val="24"/>
          <w:szCs w:val="24"/>
          <w:highlight w:val="none"/>
          <w:u w:val="single"/>
          <w:lang w:eastAsia="zh-CN"/>
        </w:rPr>
        <w:t xml:space="preserve">、本项目采购需求内的内容供应商应全部满足和响应，供应商未按要求进行响应或有负偏离的，其</w:t>
      </w:r>
      <w:r>
        <w:rPr>
          <w:rFonts w:hint="eastAsia" w:ascii="宋体" w:hAnsi="宋体" w:cs="仿宋"/>
          <w:b/>
          <w:bCs/>
          <w:i/>
          <w:iCs/>
          <w:color w:val="auto"/>
          <w:sz w:val="24"/>
          <w:szCs w:val="24"/>
          <w:highlight w:val="none"/>
          <w:u w:val="single"/>
          <w:lang w:val="en-US" w:eastAsia="zh-CN"/>
        </w:rPr>
        <w:t xml:space="preserve">响应</w:t>
      </w:r>
      <w:r>
        <w:rPr>
          <w:rFonts w:hint="eastAsia" w:ascii="宋体" w:hAnsi="宋体" w:cs="仿宋"/>
          <w:b/>
          <w:bCs/>
          <w:i/>
          <w:iCs/>
          <w:color w:val="auto"/>
          <w:sz w:val="24"/>
          <w:szCs w:val="24"/>
          <w:highlight w:val="none"/>
          <w:u w:val="single"/>
          <w:lang w:eastAsia="zh-CN"/>
        </w:rPr>
        <w:t xml:space="preserve">文件视为无效响应文件。</w:t>
      </w:r>
      <w:r/>
    </w:p>
    <w:p>
      <w:pPr>
        <w:jc w:val="both"/>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756"/>
        <w:rPr>
          <w:rFonts w:hint="eastAsia"/>
          <w:color w:val="auto"/>
          <w:highlight w:val="none"/>
        </w:rPr>
      </w:pPr>
      <w:r>
        <w:rPr>
          <w:rFonts w:hint="eastAsia"/>
          <w:color w:val="auto"/>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bookmarkEnd w:id="193"/>
      <w:bookmarkEnd w:id="194"/>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center"/>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44"/>
          <w:szCs w:val="44"/>
          <w:highlight w:val="none"/>
        </w:rPr>
        <w:t xml:space="preserve">第五章 评审方法与评审标准</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政府采购政策功能落实</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cs="宋体"/>
          <w:b/>
          <w:bCs/>
          <w:color w:val="auto"/>
          <w:sz w:val="24"/>
          <w:highlight w:val="none"/>
          <w:u w:val="single"/>
          <w:lang w:val="en-US" w:eastAsia="zh-CN"/>
        </w:rPr>
        <w:t xml:space="preserve"> 其他未列明行业 </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.根据《商品包装政府采购需求标准（试行）》、《快递包装政府采购需求标准（试行）》的通知（财办库[2020]123号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要求，商品使用的塑料、纸质、木材等包装需达到环保要求。</w:t>
      </w:r>
      <w:r/>
    </w:p>
    <w:p>
      <w:pPr>
        <w:ind w:firstLine="482"/>
        <w:jc w:val="left"/>
        <w:keepLines w:val="0"/>
        <w:keepNext w:val="0"/>
        <w:pageBreakBefore w:val="0"/>
        <w:spacing w:before="120" w:after="120" w:line="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731"/>
        <w:tblW w:w="8788"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92"/>
        <w:gridCol w:w="1274"/>
        <w:gridCol w:w="5930"/>
        <w:gridCol w:w="792"/>
      </w:tblGrid>
      <w:tr>
        <w:trPr>
          <w:cantSplit/>
          <w:trHeight w:val="630"/>
        </w:trPr>
        <w:tc>
          <w:tcPr>
            <w:tcW w:w="792" w:type="dxa"/>
            <w:vAlign w:val="center"/>
            <w:textDirection w:val="lrTb"/>
            <w:noWrap w:val="false"/>
          </w:tcPr>
          <w:p>
            <w:pPr>
              <w:jc w:val="center"/>
              <w:keepNex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74" w:type="dxa"/>
            <w:vAlign w:val="center"/>
            <w:textDirection w:val="lrTb"/>
            <w:noWrap w:val="false"/>
          </w:tcPr>
          <w:p>
            <w:pPr>
              <w:jc w:val="center"/>
              <w:keepNex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W w:w="5930" w:type="dxa"/>
            <w:vAlign w:val="center"/>
            <w:textDirection w:val="lrTb"/>
            <w:noWrap w:val="false"/>
          </w:tcPr>
          <w:p>
            <w:pPr>
              <w:jc w:val="center"/>
              <w:keepNex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评分标准说明</w:t>
            </w:r>
            <w:r/>
          </w:p>
        </w:tc>
        <w:tc>
          <w:tcPr>
            <w:tcW w:w="792" w:type="dxa"/>
            <w:vAlign w:val="center"/>
            <w:textDirection w:val="lrTb"/>
            <w:noWrap w:val="false"/>
          </w:tcPr>
          <w:p>
            <w:pPr>
              <w:jc w:val="center"/>
              <w:keepNex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cantSplit/>
          <w:trHeight w:val="1302"/>
        </w:trPr>
        <w:tc>
          <w:tcPr>
            <w:tcBorders>
              <w:left w:val="single" w:color="auto" w:sz="4" w:space="0"/>
            </w:tcBorders>
            <w:tcW w:w="792" w:type="dxa"/>
            <w:vAlign w:val="center"/>
            <w:textDirection w:val="lrTb"/>
            <w:noWrap w:val="false"/>
          </w:tcPr>
          <w:p>
            <w:pPr>
              <w:jc w:val="center"/>
              <w:keepNext/>
              <w:spacing w:line="400" w:lineRule="exact"/>
              <w:rPr>
                <w:rFonts w:ascii="宋体" w:hAnsi="宋体" w:cs="宋体"/>
                <w:color w:val="auto"/>
                <w:highlight w:val="none"/>
              </w:rPr>
            </w:pPr>
            <w:r>
              <w:rPr>
                <w:rFonts w:hint="eastAsia" w:ascii="宋体" w:hAnsi="宋体" w:cs="宋体"/>
                <w:color w:val="auto"/>
                <w:highlight w:val="none"/>
              </w:rPr>
              <w:t xml:space="preserve">1</w:t>
            </w:r>
            <w:r/>
          </w:p>
        </w:tc>
        <w:tc>
          <w:tcPr>
            <w:tcBorders>
              <w:left w:val="single" w:color="auto" w:sz="4" w:space="0"/>
            </w:tcBorders>
            <w:tcW w:w="1274" w:type="dxa"/>
            <w:vAlign w:val="center"/>
            <w:textDirection w:val="lrTb"/>
            <w:noWrap w:val="false"/>
          </w:tcPr>
          <w:p>
            <w:pPr>
              <w:jc w:val="center"/>
              <w:keepNex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响应报价</w:t>
            </w:r>
            <w:r/>
          </w:p>
        </w:tc>
        <w:tc>
          <w:tcPr>
            <w:shd w:val="clear" w:color="auto" w:fill="auto"/>
            <w:tcBorders>
              <w:left w:val="single" w:color="auto" w:sz="4" w:space="0"/>
            </w:tcBorders>
            <w:tcW w:w="5930" w:type="dxa"/>
            <w:vAlign w:val="center"/>
            <w:textDirection w:val="lrTb"/>
            <w:noWrap w:val="false"/>
          </w:tcPr>
          <w:p>
            <w:pPr>
              <w:jc w:val="left"/>
              <w:keepNext/>
              <w:spacing w:line="240" w:lineRule="auto"/>
              <w:rPr>
                <w:rFonts w:ascii="宋体" w:hAnsi="宋体" w:cs="宋体"/>
                <w:color w:val="auto"/>
                <w:highlight w:val="none"/>
              </w:rPr>
            </w:pPr>
            <w:r>
              <w:rPr>
                <w:rFonts w:hint="eastAsia" w:ascii="宋体" w:hAnsi="宋体" w:cs="宋体"/>
                <w:color w:val="auto"/>
                <w:highlight w:val="none"/>
              </w:rPr>
              <w:t xml:space="preserve">按满足竞争性磋商文件要求且最终有效投标价格最低的</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报价作为评审基准价，其价格分为满分；其他供应商的价格分按以下公式计算：</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报价得分＝（评审基准价/最终</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报价）×</w:t>
            </w: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（分值保留两位小数）。</w:t>
            </w:r>
            <w:r/>
          </w:p>
        </w:tc>
        <w:tc>
          <w:tcPr>
            <w:tcBorders>
              <w:left w:val="single" w:color="auto" w:sz="4" w:space="0"/>
            </w:tcBorders>
            <w:tcW w:w="792" w:type="dxa"/>
            <w:vAlign w:val="center"/>
            <w:textDirection w:val="lrTb"/>
            <w:noWrap w:val="false"/>
          </w:tcPr>
          <w:p>
            <w:pPr>
              <w:jc w:val="right"/>
              <w:keepNext/>
              <w:spacing w:line="400" w:lineRule="exact"/>
              <w:rPr>
                <w:rFonts w:ascii="宋体" w:hAnsi="宋体" w:cs="宋体"/>
                <w:color w:val="auto"/>
                <w:highlight w:val="none"/>
              </w:rPr>
            </w:pP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分</w:t>
            </w:r>
            <w:r/>
          </w:p>
        </w:tc>
      </w:tr>
      <w:tr>
        <w:trPr>
          <w:cantSplit/>
          <w:trHeight w:val="1607"/>
        </w:trPr>
        <w:tc>
          <w:tcPr>
            <w:tcBorders>
              <w:left w:val="single" w:color="auto" w:sz="4" w:space="0"/>
            </w:tcBorders>
            <w:tcW w:w="792" w:type="dxa"/>
            <w:vAlign w:val="center"/>
            <w:textDirection w:val="lrTb"/>
            <w:noWrap w:val="false"/>
          </w:tcPr>
          <w:p>
            <w:pPr>
              <w:jc w:val="center"/>
              <w:keepNext/>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Borders>
              <w:left w:val="single" w:color="auto" w:sz="4" w:space="0"/>
            </w:tcBorders>
            <w:tcW w:w="1274"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
                <w:color w:val="auto"/>
                <w:szCs w:val="21"/>
                <w:highlight w:val="none"/>
              </w:rPr>
              <w:t xml:space="preserve">类似业绩</w:t>
            </w:r>
            <w:r/>
          </w:p>
        </w:tc>
        <w:tc>
          <w:tcPr>
            <w:shd w:val="clear" w:color="auto" w:fill="auto"/>
            <w:tcBorders>
              <w:left w:val="single" w:color="auto" w:sz="4" w:space="0"/>
            </w:tcBorders>
            <w:tcW w:w="5930" w:type="dxa"/>
            <w:vAlign w:val="center"/>
            <w:textDirection w:val="lrTb"/>
            <w:noWrap w:val="false"/>
          </w:tcPr>
          <w:p>
            <w:pPr>
              <w:jc w:val="left"/>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年1月1日至今，供应商具有类似打印机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计算机等</w:t>
            </w:r>
            <w:r>
              <w:rPr>
                <w:rFonts w:hint="eastAsia" w:ascii="宋体" w:hAnsi="宋体" w:cs="宋体"/>
                <w:strike w:val="0"/>
                <w:color w:val="auto"/>
                <w:szCs w:val="21"/>
                <w:highlight w:val="none"/>
                <w:lang w:val="en-US" w:eastAsia="zh-CN"/>
              </w:rPr>
              <w:t xml:space="preserve">维保</w:t>
            </w:r>
            <w:r>
              <w:rPr>
                <w:rFonts w:hint="eastAsia" w:ascii="宋体" w:hAnsi="宋体" w:cs="宋体"/>
                <w:color w:val="auto"/>
                <w:szCs w:val="21"/>
                <w:highlight w:val="none"/>
              </w:rPr>
              <w:t xml:space="preserve">服务类项目合同</w:t>
            </w:r>
            <w:r>
              <w:rPr>
                <w:rFonts w:hint="eastAsia" w:ascii="宋体" w:hAnsi="宋体" w:cs="宋体"/>
                <w:b/>
                <w:bCs/>
                <w:color w:val="auto"/>
                <w:szCs w:val="21"/>
                <w:highlight w:val="none"/>
                <w:u w:val="single"/>
              </w:rPr>
              <w:t xml:space="preserve">（至少包含打印机或计算机维修维护</w:t>
            </w:r>
            <w:r>
              <w:rPr>
                <w:rFonts w:hint="eastAsia" w:ascii="宋体" w:hAnsi="宋体" w:cs="宋体"/>
                <w:b/>
                <w:bCs/>
                <w:color w:val="auto"/>
                <w:szCs w:val="21"/>
                <w:highlight w:val="none"/>
                <w:u w:val="single"/>
                <w:lang w:eastAsia="zh-CN"/>
              </w:rPr>
              <w:t xml:space="preserve">内容，且含</w:t>
            </w:r>
            <w:r>
              <w:rPr>
                <w:rFonts w:hint="eastAsia" w:ascii="宋体" w:hAnsi="宋体" w:cs="宋体"/>
                <w:b/>
                <w:bCs/>
                <w:color w:val="auto"/>
                <w:szCs w:val="21"/>
                <w:highlight w:val="none"/>
                <w:u w:val="single"/>
              </w:rPr>
              <w:t xml:space="preserve">驻场服务）</w:t>
            </w:r>
            <w:r>
              <w:rPr>
                <w:rFonts w:hint="eastAsia" w:ascii="宋体" w:hAnsi="宋体" w:cs="宋体"/>
                <w:color w:val="auto"/>
                <w:szCs w:val="21"/>
                <w:highlight w:val="none"/>
              </w:rPr>
              <w:t xml:space="preserve">，每提供一份合同得2分，最高得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spacing w:line="24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注：类似业绩有效期以合同时间为准，须</w:t>
            </w:r>
            <w:r>
              <w:rPr>
                <w:rFonts w:hint="eastAsia" w:ascii="宋体" w:hAnsi="宋体" w:cs="宋体"/>
                <w:color w:val="auto"/>
                <w:szCs w:val="21"/>
                <w:highlight w:val="none"/>
              </w:rPr>
              <w:t xml:space="preserve">提供项目合同扫描件作为得分依据，合同扫描件须包含合同金额、服务内容、签字盖章页</w:t>
            </w:r>
            <w:r>
              <w:rPr>
                <w:rFonts w:hint="eastAsia" w:ascii="宋体" w:hAnsi="宋体" w:cs="宋体"/>
                <w:color w:val="auto"/>
                <w:szCs w:val="21"/>
                <w:highlight w:val="none"/>
                <w:lang w:eastAsia="zh-CN"/>
              </w:rPr>
              <w:t xml:space="preserve">、签订时间</w:t>
            </w:r>
            <w:r>
              <w:rPr>
                <w:rFonts w:hint="eastAsia" w:ascii="宋体" w:hAnsi="宋体" w:cs="宋体"/>
                <w:color w:val="auto"/>
                <w:szCs w:val="21"/>
                <w:highlight w:val="none"/>
              </w:rPr>
              <w:t xml:space="preserve">等关键信息。</w:t>
            </w:r>
            <w:r/>
          </w:p>
        </w:tc>
        <w:tc>
          <w:tcPr>
            <w:tcBorders>
              <w:left w:val="single" w:color="auto" w:sz="4" w:space="0"/>
            </w:tcBorders>
            <w:tcW w:w="792" w:type="dxa"/>
            <w:vAlign w:val="center"/>
            <w:textDirection w:val="lrTb"/>
            <w:noWrap w:val="false"/>
          </w:tcPr>
          <w:p>
            <w:pPr>
              <w:jc w:val="right"/>
              <w:keepNex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cantSplit/>
          <w:trHeight w:val="1134"/>
        </w:trPr>
        <w:tc>
          <w:tcPr>
            <w:tcBorders>
              <w:left w:val="single" w:color="auto" w:sz="4" w:space="0"/>
            </w:tcBorders>
            <w:tcW w:w="792" w:type="dxa"/>
            <w:vAlign w:val="center"/>
            <w:textDirection w:val="lrTb"/>
            <w:noWrap w:val="false"/>
          </w:tcPr>
          <w:p>
            <w:pPr>
              <w:jc w:val="center"/>
              <w:keepNex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left w:val="single" w:color="auto" w:sz="4" w:space="0"/>
            </w:tcBorders>
            <w:tcW w:w="1274" w:type="dxa"/>
            <w:vAlign w:val="center"/>
            <w:textDirection w:val="lrTb"/>
            <w:noWrap w:val="false"/>
          </w:tcPr>
          <w:p>
            <w:pPr>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企业实力</w:t>
            </w:r>
            <w:r/>
          </w:p>
        </w:tc>
        <w:tc>
          <w:tcPr>
            <w:shd w:val="clear" w:color="auto" w:fill="auto"/>
            <w:tcBorders>
              <w:left w:val="single" w:color="auto" w:sz="4" w:space="0"/>
            </w:tcBorders>
            <w:tcW w:w="5930" w:type="dxa"/>
            <w:vAlign w:val="center"/>
            <w:textDirection w:val="lrTb"/>
            <w:noWrap w:val="false"/>
          </w:tcPr>
          <w:p>
            <w:pPr>
              <w:pStyle w:val="756"/>
              <w:ind w:left="0" w:firstLine="0"/>
              <w:rPr>
                <w:rFonts w:hint="default" w:ascii="宋体" w:hAnsi="宋体" w:eastAsia="宋体" w:cs="宋体"/>
                <w:color w:val="auto"/>
                <w:sz w:val="18"/>
                <w:szCs w:val="18"/>
                <w:highlight w:val="none"/>
                <w:lang w:val="en-US" w:eastAsia="zh-CN"/>
              </w:rPr>
            </w:pPr>
            <w:r>
              <w:rPr>
                <w:rFonts w:hint="eastAsia" w:ascii="宋体" w:hAnsi="宋体" w:cs="宋体"/>
                <w:color w:val="auto"/>
                <w:sz w:val="21"/>
                <w:szCs w:val="21"/>
                <w:highlight w:val="none"/>
              </w:rPr>
              <w:t xml:space="preserve">供应商具有</w:t>
            </w:r>
            <w:r>
              <w:rPr>
                <w:rFonts w:hint="eastAsia" w:ascii="宋体" w:hAnsi="宋体" w:cs="宋体"/>
                <w:color w:val="auto"/>
                <w:sz w:val="21"/>
                <w:szCs w:val="21"/>
                <w:highlight w:val="none"/>
                <w:lang w:val="en-US" w:eastAsia="zh-CN"/>
              </w:rPr>
              <w:t xml:space="preserve">有效期内的</w:t>
            </w:r>
            <w:r>
              <w:rPr>
                <w:rFonts w:hint="eastAsia" w:ascii="宋体" w:hAnsi="宋体" w:cs="宋体"/>
                <w:color w:val="auto"/>
                <w:sz w:val="18"/>
                <w:szCs w:val="18"/>
                <w:highlight w:val="none"/>
              </w:rPr>
              <w:t xml:space="preserve">信息技术服务管理体系认证证书得3分。</w:t>
            </w:r>
            <w:r/>
          </w:p>
          <w:p>
            <w:pPr>
              <w:pStyle w:val="756"/>
              <w:ind w:left="0" w:firstLine="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供应商具有</w:t>
            </w:r>
            <w:r>
              <w:rPr>
                <w:rFonts w:hint="eastAsia" w:ascii="宋体" w:hAnsi="宋体" w:cs="宋体"/>
                <w:color w:val="auto"/>
                <w:sz w:val="18"/>
                <w:szCs w:val="18"/>
                <w:highlight w:val="none"/>
                <w:lang w:val="en-US" w:eastAsia="zh-CN"/>
              </w:rPr>
              <w:t xml:space="preserve">有效期内的</w:t>
            </w:r>
            <w:r>
              <w:rPr>
                <w:rFonts w:hint="eastAsia" w:ascii="宋体" w:hAnsi="宋体" w:cs="宋体"/>
                <w:color w:val="auto"/>
                <w:sz w:val="18"/>
                <w:szCs w:val="18"/>
                <w:highlight w:val="none"/>
              </w:rPr>
              <w:t xml:space="preserve">质量管理体系认证证书得3分。</w:t>
            </w:r>
            <w:r/>
          </w:p>
          <w:p>
            <w:pPr>
              <w:pStyle w:val="756"/>
              <w:ind w:left="0" w:firstLine="0"/>
              <w:rPr>
                <w:rFonts w:hint="default" w:ascii="宋体" w:hAnsi="宋体" w:eastAsia="宋体" w:cs="宋体"/>
                <w:color w:val="auto"/>
                <w:sz w:val="21"/>
                <w:szCs w:val="21"/>
                <w:highlight w:val="none"/>
                <w:lang w:val="en-US" w:eastAsia="zh-CN"/>
              </w:rPr>
            </w:pPr>
            <w:r>
              <w:rPr>
                <w:rFonts w:hint="eastAsia" w:ascii="宋体" w:hAnsi="宋体" w:cs="宋体"/>
                <w:color w:val="auto"/>
                <w:sz w:val="18"/>
                <w:szCs w:val="18"/>
                <w:highlight w:val="none"/>
                <w:lang w:val="en-US" w:eastAsia="zh-CN"/>
              </w:rPr>
              <w:t xml:space="preserve">注：</w:t>
            </w:r>
            <w:r>
              <w:rPr>
                <w:rFonts w:ascii="宋体" w:hAnsi="宋体" w:cs="宋体"/>
                <w:color w:val="auto"/>
                <w:highlight w:val="none"/>
              </w:rPr>
              <w:t xml:space="preserve">以上提供证书扫描件并加盖公章，在国家认证认可监督管理委员会信息中心</w:t>
            </w:r>
            <w:r>
              <w:rPr>
                <w:rFonts w:eastAsia="Calibri" w:cs="Calibri"/>
                <w:color w:val="auto"/>
                <w:highlight w:val="none"/>
              </w:rPr>
              <w:t xml:space="preserve">http://cx.cnca.cn/CertECloud/index/index/page</w:t>
            </w:r>
            <w:r>
              <w:rPr>
                <w:rFonts w:ascii="宋体" w:hAnsi="宋体" w:cs="宋体"/>
                <w:color w:val="auto"/>
                <w:highlight w:val="none"/>
              </w:rPr>
              <w:t xml:space="preserve">网站可查询并提供查询截图，否则不得分。</w:t>
            </w:r>
            <w:r/>
          </w:p>
        </w:tc>
        <w:tc>
          <w:tcPr>
            <w:tcBorders>
              <w:left w:val="single" w:color="auto" w:sz="4" w:space="0"/>
            </w:tcBorders>
            <w:tcW w:w="792" w:type="dxa"/>
            <w:vAlign w:val="center"/>
            <w:textDirection w:val="lrTb"/>
            <w:noWrap w:val="false"/>
          </w:tcPr>
          <w:p>
            <w:pPr>
              <w:jc w:val="right"/>
              <w:keepNext/>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r>
      <w:tr>
        <w:trPr>
          <w:cantSplit/>
          <w:trHeight w:val="4032"/>
        </w:trPr>
        <w:tc>
          <w:tcPr>
            <w:tcBorders>
              <w:left w:val="single" w:color="auto" w:sz="4" w:space="0"/>
            </w:tcBorders>
            <w:tcW w:w="792" w:type="dxa"/>
            <w:vAlign w:val="center"/>
            <w:textDirection w:val="lrTb"/>
            <w:noWrap w:val="false"/>
          </w:tcPr>
          <w:p>
            <w:pPr>
              <w:jc w:val="center"/>
              <w:keepNext/>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Borders>
              <w:left w:val="single" w:color="auto" w:sz="4" w:space="0"/>
            </w:tcBorders>
            <w:tcW w:w="1274" w:type="dxa"/>
            <w:vAlign w:val="center"/>
            <w:textDirection w:val="lrTb"/>
            <w:noWrap w:val="false"/>
          </w:tcPr>
          <w:p>
            <w:pPr>
              <w:jc w:val="center"/>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人员实力</w:t>
            </w:r>
            <w:r/>
          </w:p>
        </w:tc>
        <w:tc>
          <w:tcPr>
            <w:shd w:val="clear" w:color="auto" w:fill="auto"/>
            <w:tcBorders>
              <w:left w:val="single" w:color="auto" w:sz="4" w:space="0"/>
            </w:tcBorders>
            <w:tcW w:w="5930" w:type="dxa"/>
            <w:vAlign w:val="center"/>
            <w:textDirection w:val="lrTb"/>
            <w:noWrap w:val="false"/>
          </w:tcPr>
          <w:p>
            <w:pPr>
              <w:pStyle w:val="756"/>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根据供应商提供的本项目成员情况：</w:t>
            </w:r>
            <w:r/>
          </w:p>
          <w:p>
            <w:pPr>
              <w:pStyle w:val="756"/>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1.项目经理具备由国家、省级相关部门颁发的计算机</w:t>
            </w:r>
            <w:r>
              <w:rPr>
                <w:rFonts w:hint="eastAsia" w:ascii="宋体" w:hAnsi="宋体" w:cs="宋体"/>
                <w:color w:val="auto"/>
                <w:sz w:val="21"/>
                <w:szCs w:val="21"/>
                <w:highlight w:val="none"/>
                <w:lang w:val="en-US" w:eastAsia="zh-CN"/>
              </w:rPr>
              <w:t xml:space="preserve">类</w:t>
            </w:r>
            <w:r>
              <w:rPr>
                <w:rFonts w:hint="eastAsia" w:ascii="宋体" w:hAnsi="宋体" w:cs="宋体"/>
                <w:color w:val="auto"/>
                <w:sz w:val="21"/>
                <w:szCs w:val="21"/>
                <w:highlight w:val="none"/>
              </w:rPr>
              <w:t xml:space="preserve">中级</w:t>
            </w:r>
            <w:r>
              <w:rPr>
                <w:rFonts w:hint="eastAsia" w:ascii="宋体" w:hAnsi="宋体" w:cs="宋体"/>
                <w:color w:val="auto"/>
                <w:sz w:val="21"/>
                <w:szCs w:val="21"/>
                <w:highlight w:val="none"/>
                <w:lang w:eastAsia="zh-CN"/>
              </w:rPr>
              <w:t xml:space="preserve">或以上</w:t>
            </w:r>
            <w:r>
              <w:rPr>
                <w:rFonts w:hint="eastAsia" w:ascii="宋体" w:hAnsi="宋体" w:cs="宋体"/>
                <w:color w:val="auto"/>
                <w:sz w:val="21"/>
                <w:szCs w:val="21"/>
                <w:highlight w:val="none"/>
                <w:lang w:val="en-US" w:eastAsia="zh-CN"/>
              </w:rPr>
              <w:t xml:space="preserve">职称</w:t>
            </w:r>
            <w:r>
              <w:rPr>
                <w:rFonts w:hint="eastAsia" w:ascii="宋体" w:hAnsi="宋体" w:cs="宋体"/>
                <w:color w:val="auto"/>
                <w:sz w:val="21"/>
                <w:szCs w:val="21"/>
                <w:highlight w:val="none"/>
              </w:rPr>
              <w:t xml:space="preserve">证书 或 ITSS 服务项目经理相关证书得3分。</w:t>
            </w:r>
            <w:r/>
          </w:p>
          <w:p>
            <w:pPr>
              <w:pStyle w:val="756"/>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2.至少提供3名专职驻场维修服务工程师，</w:t>
            </w:r>
            <w:r>
              <w:rPr>
                <w:rFonts w:hint="eastAsia" w:ascii="宋体" w:hAnsi="宋体" w:cs="宋体"/>
                <w:color w:val="auto"/>
                <w:sz w:val="21"/>
                <w:szCs w:val="21"/>
                <w:highlight w:val="none"/>
                <w:lang w:val="en-US" w:eastAsia="zh-CN"/>
              </w:rPr>
              <w:t xml:space="preserve">在此基础上</w:t>
            </w: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增加一名符合采购文件要求的驻场工程师</w:t>
            </w:r>
            <w:r>
              <w:rPr>
                <w:rFonts w:hint="eastAsia" w:ascii="宋体" w:hAnsi="宋体" w:cs="宋体"/>
                <w:color w:val="auto"/>
                <w:sz w:val="21"/>
                <w:szCs w:val="21"/>
                <w:highlight w:val="none"/>
              </w:rPr>
              <w:t xml:space="preserve">得3分，最高得6分。</w:t>
            </w:r>
            <w:r/>
          </w:p>
          <w:p>
            <w:pPr>
              <w:pStyle w:val="756"/>
              <w:ind w:left="0" w:firstLine="0"/>
              <w:rPr>
                <w:rFonts w:hint="eastAsia" w:ascii="宋体" w:hAnsi="宋体" w:eastAsia="宋体" w:cs="宋体"/>
                <w:strike w:val="0"/>
                <w:color w:val="auto"/>
                <w:sz w:val="21"/>
                <w:szCs w:val="21"/>
                <w:highlight w:val="none"/>
                <w:lang w:eastAsia="zh-CN"/>
              </w:rPr>
            </w:pPr>
            <w:r>
              <w:rPr>
                <w:rFonts w:hint="eastAsia" w:ascii="宋体" w:hAnsi="宋体" w:cs="宋体"/>
                <w:color w:val="auto"/>
                <w:sz w:val="21"/>
                <w:szCs w:val="21"/>
                <w:highlight w:val="none"/>
              </w:rPr>
              <w:t xml:space="preserve">3.除项目经理外，驻场工程师具备以下任一证书：人社备案第三方评价机构核发</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办公设备维修工职业技能等级证书、工信部教育与考试中心</w:t>
            </w:r>
            <w:r>
              <w:rPr>
                <w:rFonts w:hint="eastAsia" w:ascii="宋体" w:hAnsi="宋体" w:cs="宋体"/>
                <w:color w:val="auto"/>
                <w:sz w:val="21"/>
                <w:szCs w:val="21"/>
                <w:highlight w:val="none"/>
                <w:lang w:val="en-US" w:eastAsia="zh-CN"/>
              </w:rPr>
              <w:t xml:space="preserve">颁发的</w:t>
            </w:r>
            <w:r>
              <w:rPr>
                <w:rFonts w:hint="eastAsia" w:ascii="宋体" w:hAnsi="宋体" w:cs="宋体"/>
                <w:color w:val="auto"/>
                <w:sz w:val="21"/>
                <w:szCs w:val="21"/>
                <w:highlight w:val="none"/>
              </w:rPr>
              <w:t xml:space="preserve">硬件维修工程师/IT运维工程师证书、打印机复印机品牌</w:t>
            </w:r>
            <w:r>
              <w:rPr>
                <w:rFonts w:hint="eastAsia" w:ascii="宋体" w:hAnsi="宋体" w:cs="宋体"/>
                <w:color w:val="auto"/>
                <w:sz w:val="21"/>
                <w:szCs w:val="21"/>
                <w:highlight w:val="none"/>
                <w:lang w:val="en-US" w:eastAsia="zh-CN"/>
              </w:rPr>
              <w:t xml:space="preserve">厂商</w:t>
            </w:r>
            <w:r>
              <w:rPr>
                <w:rFonts w:hint="eastAsia" w:ascii="宋体" w:hAnsi="宋体" w:cs="宋体"/>
                <w:color w:val="auto"/>
                <w:sz w:val="21"/>
                <w:szCs w:val="21"/>
                <w:highlight w:val="none"/>
              </w:rPr>
              <w:t xml:space="preserve">维修认证；每人具备一项符合条件证书得 3 分，最高得 9 分，一人多证不</w:t>
            </w:r>
            <w:r>
              <w:rPr>
                <w:rFonts w:hint="eastAsia" w:ascii="宋体" w:hAnsi="宋体" w:cs="宋体"/>
                <w:color w:val="auto"/>
                <w:sz w:val="21"/>
                <w:szCs w:val="21"/>
                <w:highlight w:val="none"/>
                <w:lang w:val="en-US" w:eastAsia="zh-CN"/>
              </w:rPr>
              <w:t xml:space="preserve">累计</w:t>
            </w:r>
            <w:r>
              <w:rPr>
                <w:rFonts w:hint="eastAsia" w:ascii="宋体" w:hAnsi="宋体" w:cs="宋体"/>
                <w:color w:val="auto"/>
                <w:sz w:val="21"/>
                <w:szCs w:val="21"/>
                <w:highlight w:val="none"/>
              </w:rPr>
              <w:t xml:space="preserve">得分。</w:t>
            </w:r>
            <w:r/>
          </w:p>
          <w:p>
            <w:pPr>
              <w:pStyle w:val="756"/>
              <w:ind w:left="0" w:firstLine="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第</w:t>
            </w:r>
            <w:r>
              <w:rPr>
                <w:rFonts w:hint="eastAsia" w:ascii="宋体" w:hAnsi="宋体" w:cs="宋体"/>
                <w:color w:val="auto"/>
                <w:sz w:val="21"/>
                <w:szCs w:val="21"/>
                <w:highlight w:val="none"/>
                <w:lang w:val="en-US" w:eastAsia="zh-CN"/>
              </w:rPr>
              <w:t xml:space="preserve">1小项和第3小项需</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对应</w:t>
            </w:r>
            <w:r>
              <w:rPr>
                <w:rFonts w:hint="eastAsia" w:ascii="宋体" w:hAnsi="宋体" w:cs="宋体"/>
                <w:color w:val="auto"/>
                <w:sz w:val="21"/>
                <w:szCs w:val="21"/>
                <w:highlight w:val="none"/>
              </w:rPr>
              <w:t xml:space="preserve">成员</w:t>
            </w:r>
            <w:r>
              <w:rPr>
                <w:rFonts w:hint="eastAsia" w:ascii="宋体" w:hAnsi="宋体" w:eastAsia="宋体" w:cs="宋体"/>
                <w:color w:val="auto"/>
                <w:sz w:val="21"/>
                <w:szCs w:val="21"/>
                <w:highlight w:val="none"/>
                <w:lang w:val="en-US" w:eastAsia="zh-CN"/>
              </w:rPr>
              <w:t xml:space="preserve">响应前</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个月</w:t>
            </w:r>
            <w:r>
              <w:rPr>
                <w:rFonts w:hint="eastAsia" w:ascii="宋体" w:hAnsi="宋体" w:cs="宋体"/>
                <w:color w:val="auto"/>
                <w:sz w:val="21"/>
                <w:szCs w:val="21"/>
                <w:highlight w:val="none"/>
                <w:lang w:val="en-US" w:eastAsia="zh-CN"/>
              </w:rPr>
              <w:t xml:space="preserve">内任一个月的</w:t>
            </w:r>
            <w:r>
              <w:rPr>
                <w:rFonts w:hint="eastAsia" w:ascii="宋体" w:hAnsi="宋体" w:eastAsia="宋体" w:cs="宋体"/>
                <w:color w:val="auto"/>
                <w:sz w:val="21"/>
                <w:szCs w:val="21"/>
                <w:highlight w:val="none"/>
                <w:lang w:val="en-US" w:eastAsia="zh-CN"/>
              </w:rPr>
              <w:t xml:space="preserve">（不含响应当月）社保缴纳证明、身份证和</w:t>
            </w:r>
            <w:r>
              <w:rPr>
                <w:rFonts w:hint="eastAsia" w:ascii="宋体" w:hAnsi="宋体" w:eastAsia="宋体" w:cs="宋体"/>
                <w:color w:val="auto"/>
                <w:sz w:val="21"/>
                <w:szCs w:val="21"/>
                <w:highlight w:val="none"/>
                <w:u w:val="none"/>
                <w:lang w:val="en-US" w:eastAsia="zh-CN"/>
              </w:rPr>
              <w:t xml:space="preserve">对应资格证书</w:t>
            </w:r>
            <w:r>
              <w:rPr>
                <w:rFonts w:hint="eastAsia" w:ascii="宋体" w:hAnsi="宋体" w:eastAsia="宋体" w:cs="宋体"/>
                <w:color w:val="auto"/>
                <w:sz w:val="21"/>
                <w:szCs w:val="21"/>
                <w:highlight w:val="none"/>
                <w:lang w:val="en-US" w:eastAsia="zh-CN"/>
              </w:rPr>
              <w:t xml:space="preserve">复印件，并加盖供应商公章</w:t>
            </w:r>
            <w:r>
              <w:rPr>
                <w:rFonts w:hint="eastAsia" w:ascii="宋体" w:hAnsi="宋体" w:cs="宋体"/>
                <w:color w:val="auto"/>
                <w:sz w:val="21"/>
                <w:szCs w:val="21"/>
                <w:highlight w:val="none"/>
              </w:rPr>
              <w:t xml:space="preserve">，否则不得分</w:t>
            </w:r>
            <w:r>
              <w:rPr>
                <w:rFonts w:hint="eastAsia" w:ascii="宋体" w:hAnsi="宋体" w:cs="宋体"/>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第2小项需提供承诺书，承诺书格式自拟，加盖供应商公章。</w:t>
            </w:r>
            <w:r/>
          </w:p>
          <w:p>
            <w:pPr>
              <w:pStyle w:val="756"/>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left w:val="single" w:color="auto" w:sz="4" w:space="0"/>
            </w:tcBorders>
            <w:tcW w:w="792" w:type="dxa"/>
            <w:vAlign w:val="center"/>
            <w:textDirection w:val="lrTb"/>
            <w:noWrap w:val="false"/>
          </w:tcPr>
          <w:p>
            <w:pPr>
              <w:jc w:val="right"/>
              <w:keepNext/>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分</w:t>
            </w:r>
            <w:r/>
          </w:p>
        </w:tc>
      </w:tr>
      <w:tr>
        <w:trPr>
          <w:cantSplit/>
          <w:trHeight w:val="2743"/>
        </w:trPr>
        <w:tc>
          <w:tcPr>
            <w:tcBorders>
              <w:left w:val="single" w:color="auto" w:sz="4" w:space="0"/>
            </w:tcBorders>
            <w:tcW w:w="792" w:type="dxa"/>
            <w:vAlign w:val="center"/>
            <w:textDirection w:val="lrTb"/>
            <w:noWrap w:val="false"/>
          </w:tcPr>
          <w:p>
            <w:pPr>
              <w:jc w:val="center"/>
              <w:keepNex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left w:val="single" w:color="auto" w:sz="4" w:space="0"/>
            </w:tcBorders>
            <w:tcW w:w="1274" w:type="dxa"/>
            <w:vAlign w:val="center"/>
            <w:textDirection w:val="lrTb"/>
            <w:noWrap w:val="false"/>
          </w:tcPr>
          <w:p>
            <w:pPr>
              <w:jc w:val="center"/>
              <w:spacing w:line="40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项目管理</w:t>
            </w:r>
            <w:r>
              <w:rPr>
                <w:rFonts w:hint="eastAsia" w:ascii="宋体" w:hAnsi="宋体" w:cs="宋体"/>
                <w:b/>
                <w:color w:val="auto"/>
                <w:szCs w:val="21"/>
                <w:highlight w:val="none"/>
                <w:lang w:val="en-US" w:eastAsia="zh-CN"/>
              </w:rPr>
              <w:t xml:space="preserve">能力</w:t>
            </w:r>
            <w:r/>
          </w:p>
        </w:tc>
        <w:tc>
          <w:tcPr>
            <w:shd w:val="clear" w:color="auto" w:fill="auto"/>
            <w:tcBorders>
              <w:left w:val="single" w:color="auto" w:sz="4" w:space="0"/>
            </w:tcBorders>
            <w:tcW w:w="5930" w:type="dxa"/>
            <w:vAlign w:val="center"/>
            <w:textDirection w:val="lrTb"/>
            <w:noWrap w:val="false"/>
          </w:tcPr>
          <w:p>
            <w:pPr>
              <w:pStyle w:val="756"/>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对于项目实施和服务过程可进行</w:t>
            </w:r>
            <w:r>
              <w:rPr>
                <w:rFonts w:hint="eastAsia" w:ascii="宋体" w:hAnsi="宋体" w:eastAsia="宋体" w:cs="宋体"/>
                <w:color w:val="auto"/>
                <w:sz w:val="21"/>
                <w:szCs w:val="21"/>
                <w:highlight w:val="none"/>
                <w:lang w:eastAsia="zh-CN"/>
              </w:rPr>
              <w:t xml:space="preserve">全过</w:t>
            </w:r>
            <w:r>
              <w:rPr>
                <w:rFonts w:hint="eastAsia" w:ascii="宋体" w:hAnsi="宋体" w:eastAsia="宋体" w:cs="宋体"/>
                <w:color w:val="auto"/>
                <w:sz w:val="21"/>
                <w:szCs w:val="21"/>
                <w:highlight w:val="none"/>
              </w:rPr>
              <w:t xml:space="preserve">程的信息化管理，根据</w:t>
            </w:r>
            <w:r>
              <w:rPr>
                <w:rFonts w:hint="eastAsia" w:ascii="宋体" w:hAnsi="宋体" w:eastAsia="宋体" w:cs="宋体"/>
                <w:color w:val="auto"/>
                <w:sz w:val="21"/>
                <w:szCs w:val="21"/>
                <w:highlight w:val="none"/>
                <w:lang w:val="en-US" w:eastAsia="zh-CN"/>
              </w:rPr>
              <w:t xml:space="preserve">响应供应商</w:t>
            </w:r>
            <w:r>
              <w:rPr>
                <w:rFonts w:hint="eastAsia" w:ascii="宋体" w:hAnsi="宋体" w:eastAsia="宋体" w:cs="宋体"/>
                <w:color w:val="auto"/>
                <w:sz w:val="21"/>
                <w:szCs w:val="21"/>
                <w:highlight w:val="none"/>
              </w:rPr>
              <w:t xml:space="preserve">提供的管理平台对服务质量可控的功能性、合理性等</w:t>
            </w:r>
            <w:r>
              <w:rPr>
                <w:rFonts w:hint="eastAsia" w:ascii="宋体" w:hAnsi="宋体" w:cs="宋体"/>
                <w:color w:val="auto"/>
                <w:sz w:val="21"/>
                <w:szCs w:val="21"/>
                <w:highlight w:val="none"/>
                <w:lang w:eastAsia="zh-CN"/>
              </w:rPr>
              <w:t xml:space="preserve">对照得分点进行</w:t>
            </w:r>
            <w:r>
              <w:rPr>
                <w:rFonts w:hint="eastAsia" w:ascii="宋体" w:hAnsi="宋体" w:eastAsia="宋体" w:cs="宋体"/>
                <w:color w:val="auto"/>
                <w:sz w:val="21"/>
                <w:szCs w:val="21"/>
                <w:highlight w:val="none"/>
              </w:rPr>
              <w:t xml:space="preserve">打分。</w:t>
            </w:r>
            <w:r/>
          </w:p>
          <w:p>
            <w:pPr>
              <w:pStyle w:val="756"/>
              <w:ind w:lef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1.具有用户扫码报修</w:t>
            </w:r>
            <w:r>
              <w:rPr>
                <w:rFonts w:hint="eastAsia" w:ascii="宋体" w:hAnsi="宋体" w:eastAsia="宋体" w:cs="宋体"/>
                <w:color w:val="auto"/>
                <w:sz w:val="21"/>
                <w:szCs w:val="21"/>
                <w:highlight w:val="none"/>
                <w:lang w:val="en-US" w:eastAsia="zh-CN"/>
              </w:rPr>
              <w:t xml:space="preserve">功能</w:t>
            </w:r>
            <w:r>
              <w:rPr>
                <w:rFonts w:hint="eastAsia" w:ascii="宋体" w:hAnsi="宋体" w:cs="宋体"/>
                <w:strike w:val="0"/>
                <w:color w:val="auto"/>
                <w:sz w:val="21"/>
                <w:szCs w:val="21"/>
                <w:highlight w:val="none"/>
                <w:lang w:val="en-US" w:eastAsia="zh-CN"/>
              </w:rPr>
              <w:t xml:space="preserve">，能进行</w:t>
            </w:r>
            <w:r>
              <w:rPr>
                <w:rFonts w:hint="eastAsia" w:ascii="宋体" w:hAnsi="宋体" w:eastAsia="宋体" w:cs="宋体"/>
                <w:color w:val="auto"/>
                <w:sz w:val="21"/>
                <w:szCs w:val="21"/>
                <w:highlight w:val="none"/>
                <w:lang w:val="en-US" w:eastAsia="zh-CN"/>
              </w:rPr>
              <w:t xml:space="preserve">全流程闭管理</w:t>
            </w:r>
            <w:r>
              <w:rPr>
                <w:rFonts w:hint="eastAsia" w:ascii="宋体" w:hAnsi="宋体" w:cs="宋体"/>
                <w:strike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756"/>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具有物资领用</w:t>
            </w:r>
            <w:r>
              <w:rPr>
                <w:rFonts w:hint="eastAsia" w:ascii="宋体" w:hAnsi="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lang w:val="en-US" w:eastAsia="zh-CN"/>
              </w:rPr>
              <w:t xml:space="preserve">耗材</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零配件线上申领等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756"/>
              <w:ind w:left="0" w:firstLine="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具有工作效果分析评价功能，如设备状态管理、耗材配送记录</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分析功能。</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756"/>
              <w:ind w:left="0" w:firstLine="0"/>
              <w:rPr>
                <w:rFonts w:hint="default" w:ascii="宋体" w:hAnsi="宋体" w:cs="宋体"/>
                <w:strike/>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提供相关功能</w:t>
            </w:r>
            <w:r>
              <w:rPr>
                <w:rFonts w:hint="eastAsia" w:ascii="宋体" w:hAnsi="宋体" w:eastAsia="宋体" w:cs="宋体"/>
                <w:color w:val="auto"/>
                <w:sz w:val="21"/>
                <w:szCs w:val="21"/>
                <w:highlight w:val="none"/>
              </w:rPr>
              <w:t xml:space="preserve">截图</w:t>
            </w:r>
            <w:r>
              <w:rPr>
                <w:rFonts w:hint="eastAsia" w:ascii="宋体" w:hAnsi="宋体" w:cs="宋体"/>
                <w:color w:val="auto"/>
                <w:sz w:val="21"/>
                <w:szCs w:val="21"/>
                <w:highlight w:val="none"/>
                <w:lang w:val="en-US" w:eastAsia="zh-CN"/>
              </w:rPr>
              <w:t xml:space="preserve">加盖供应商公章</w:t>
            </w:r>
            <w:r>
              <w:rPr>
                <w:rFonts w:hint="eastAsia" w:ascii="宋体" w:hAnsi="宋体" w:eastAsia="宋体" w:cs="宋体"/>
                <w:color w:val="auto"/>
                <w:sz w:val="21"/>
                <w:szCs w:val="21"/>
                <w:highlight w:val="none"/>
                <w:lang w:eastAsia="zh-CN"/>
              </w:rPr>
              <w:t xml:space="preserve">。</w:t>
            </w:r>
            <w:r/>
          </w:p>
        </w:tc>
        <w:tc>
          <w:tcPr>
            <w:tcBorders>
              <w:left w:val="single" w:color="auto" w:sz="4" w:space="0"/>
            </w:tcBorders>
            <w:tcW w:w="792" w:type="dxa"/>
            <w:vAlign w:val="center"/>
            <w:textDirection w:val="lrTb"/>
            <w:noWrap w:val="false"/>
          </w:tcPr>
          <w:p>
            <w:pPr>
              <w:jc w:val="right"/>
              <w:keepNext/>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r>
      <w:tr>
        <w:trPr>
          <w:cantSplit/>
          <w:trHeight w:val="2980"/>
        </w:trPr>
        <w:tc>
          <w:tcPr>
            <w:tcW w:w="792" w:type="dxa"/>
            <w:vAlign w:val="center"/>
            <w:textDirection w:val="lrTb"/>
            <w:noWrap w:val="false"/>
          </w:tcPr>
          <w:p>
            <w:pPr>
              <w:jc w:val="center"/>
              <w:keepNext/>
              <w:spacing w:line="40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6</w:t>
            </w:r>
            <w:r/>
          </w:p>
        </w:tc>
        <w:tc>
          <w:tcPr>
            <w:tcW w:w="1274"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服务方案</w:t>
            </w:r>
            <w:r/>
          </w:p>
        </w:tc>
        <w:tc>
          <w:tcPr>
            <w:tcW w:w="5930" w:type="dxa"/>
            <w:vAlign w:val="center"/>
            <w:textDirection w:val="lrTb"/>
            <w:noWrap w:val="false"/>
          </w:tcPr>
          <w:p>
            <w:pPr>
              <w:jc w:val="left"/>
              <w:spacing w:line="400" w:lineRule="exact"/>
              <w:tabs>
                <w:tab w:val="left" w:pos="2850" w:leader="none"/>
                <w:tab w:val="center" w:pos="4153" w:leader="none"/>
              </w:tabs>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根据供应商提供的维保服务方案进行打分，包括但不限于：人员配备、技术支撑、备品备库供应支撑、服务响应时间等</w:t>
            </w:r>
            <w:r>
              <w:rPr>
                <w:rFonts w:hint="eastAsia" w:ascii="宋体" w:hAnsi="宋体" w:cs="宋体"/>
                <w:bCs/>
                <w:color w:val="auto"/>
                <w:szCs w:val="21"/>
                <w:highlight w:val="none"/>
                <w:lang w:eastAsia="zh-CN"/>
              </w:rPr>
              <w:t xml:space="preserve">。</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Style w:val="932"/>
                <w:rFonts w:hint="eastAsia" w:ascii="宋体" w:hAnsi="宋体" w:eastAsia="宋体" w:cs="宋体"/>
                <w:color w:val="auto"/>
                <w:sz w:val="21"/>
                <w:szCs w:val="21"/>
                <w:highlight w:val="none"/>
              </w:rPr>
              <w:t xml:space="preserve">方案科学合理、</w:t>
            </w:r>
            <w:r>
              <w:rPr>
                <w:rStyle w:val="932"/>
                <w:rFonts w:hint="eastAsia" w:ascii="宋体" w:hAnsi="宋体" w:cs="宋体"/>
                <w:color w:val="auto"/>
                <w:sz w:val="21"/>
                <w:szCs w:val="21"/>
                <w:highlight w:val="none"/>
                <w:lang w:eastAsia="zh-CN"/>
              </w:rPr>
              <w:t xml:space="preserve">人员配备数量多资质全，技术支撑完整，</w:t>
            </w:r>
            <w:r>
              <w:rPr>
                <w:rFonts w:hint="eastAsia" w:ascii="宋体" w:hAnsi="宋体" w:cs="宋体"/>
                <w:bCs/>
                <w:color w:val="auto"/>
                <w:szCs w:val="21"/>
                <w:highlight w:val="none"/>
              </w:rPr>
              <w:t xml:space="preserve">备品备库供应</w:t>
            </w:r>
            <w:r>
              <w:rPr>
                <w:rFonts w:hint="eastAsia" w:ascii="宋体" w:hAnsi="宋体" w:cs="宋体"/>
                <w:bCs/>
                <w:color w:val="auto"/>
                <w:szCs w:val="21"/>
                <w:highlight w:val="none"/>
                <w:lang w:eastAsia="zh-CN"/>
              </w:rPr>
              <w:t xml:space="preserve">数量多种类全，服务响应时间快的</w:t>
            </w:r>
            <w:r>
              <w:rPr>
                <w:rStyle w:val="932"/>
                <w:rFonts w:hint="eastAsia" w:ascii="宋体" w:hAnsi="宋体" w:cs="宋体"/>
                <w:color w:val="auto"/>
                <w:sz w:val="21"/>
                <w:szCs w:val="21"/>
                <w:highlight w:val="none"/>
                <w:lang w:val="en-US" w:eastAsia="zh-CN"/>
              </w:rPr>
              <w:t xml:space="preserve">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Style w:val="932"/>
                <w:rFonts w:hint="eastAsia" w:ascii="宋体" w:hAnsi="宋体" w:eastAsia="宋体" w:cs="宋体"/>
                <w:color w:val="auto"/>
                <w:sz w:val="21"/>
                <w:szCs w:val="21"/>
                <w:highlight w:val="none"/>
              </w:rPr>
              <w:t xml:space="preserve">方案</w:t>
            </w:r>
            <w:r>
              <w:rPr>
                <w:rStyle w:val="932"/>
                <w:rFonts w:hint="eastAsia" w:ascii="宋体" w:hAnsi="宋体" w:cs="宋体"/>
                <w:color w:val="auto"/>
                <w:sz w:val="21"/>
                <w:szCs w:val="21"/>
                <w:highlight w:val="none"/>
                <w:lang w:val="en-US" w:eastAsia="zh-CN"/>
              </w:rPr>
              <w:t xml:space="preserve">较</w:t>
            </w:r>
            <w:r>
              <w:rPr>
                <w:rStyle w:val="932"/>
                <w:rFonts w:hint="eastAsia" w:ascii="宋体" w:hAnsi="宋体" w:eastAsia="宋体" w:cs="宋体"/>
                <w:color w:val="auto"/>
                <w:sz w:val="21"/>
                <w:szCs w:val="21"/>
                <w:highlight w:val="none"/>
              </w:rPr>
              <w:t xml:space="preserve">合理</w:t>
            </w:r>
            <w:r>
              <w:rPr>
                <w:rStyle w:val="932"/>
                <w:rFonts w:hint="eastAsia" w:ascii="宋体" w:hAnsi="宋体" w:cs="宋体"/>
                <w:color w:val="auto"/>
                <w:sz w:val="21"/>
                <w:szCs w:val="21"/>
                <w:highlight w:val="none"/>
                <w:lang w:eastAsia="zh-CN"/>
              </w:rPr>
              <w:t xml:space="preserve">、人员配备数量较多资质较全，技术支撑较完整，</w:t>
            </w:r>
            <w:r>
              <w:rPr>
                <w:rFonts w:hint="eastAsia" w:ascii="宋体" w:hAnsi="宋体" w:cs="宋体"/>
                <w:bCs/>
                <w:color w:val="auto"/>
                <w:szCs w:val="21"/>
                <w:highlight w:val="none"/>
              </w:rPr>
              <w:t xml:space="preserve">备品备库供应</w:t>
            </w:r>
            <w:r>
              <w:rPr>
                <w:rFonts w:hint="eastAsia" w:ascii="宋体" w:hAnsi="宋体" w:cs="宋体"/>
                <w:bCs/>
                <w:color w:val="auto"/>
                <w:szCs w:val="21"/>
                <w:highlight w:val="none"/>
                <w:lang w:eastAsia="zh-CN"/>
              </w:rPr>
              <w:t xml:space="preserve">数量较多种类较全，服务响应时间较快的得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Style w:val="932"/>
                <w:rFonts w:hint="eastAsia" w:ascii="宋体" w:hAnsi="宋体" w:cs="宋体"/>
                <w:color w:val="auto"/>
                <w:sz w:val="21"/>
                <w:szCs w:val="21"/>
                <w:highlight w:val="none"/>
                <w:lang w:val="en-US" w:eastAsia="zh-CN"/>
              </w:rPr>
              <w:t xml:space="preserve">方案合理性欠缺、</w:t>
            </w:r>
            <w:r>
              <w:rPr>
                <w:rStyle w:val="932"/>
                <w:rFonts w:hint="eastAsia" w:ascii="宋体" w:hAnsi="宋体" w:cs="宋体"/>
                <w:color w:val="auto"/>
                <w:sz w:val="21"/>
                <w:szCs w:val="21"/>
                <w:highlight w:val="none"/>
                <w:lang w:eastAsia="zh-CN"/>
              </w:rPr>
              <w:t xml:space="preserve">人员配备数量不足，技术支撑一般，</w:t>
            </w:r>
            <w:r>
              <w:rPr>
                <w:rFonts w:hint="eastAsia" w:ascii="宋体" w:hAnsi="宋体" w:cs="宋体"/>
                <w:bCs/>
                <w:color w:val="auto"/>
                <w:szCs w:val="21"/>
                <w:highlight w:val="none"/>
              </w:rPr>
              <w:t xml:space="preserve">备品备库供应</w:t>
            </w:r>
            <w:r>
              <w:rPr>
                <w:rFonts w:hint="eastAsia" w:ascii="宋体" w:hAnsi="宋体" w:cs="宋体"/>
                <w:bCs/>
                <w:color w:val="auto"/>
                <w:szCs w:val="21"/>
                <w:highlight w:val="none"/>
                <w:lang w:eastAsia="zh-CN"/>
              </w:rPr>
              <w:t xml:space="preserve">不足，服务响应时间慢</w:t>
            </w:r>
            <w:r>
              <w:rPr>
                <w:rStyle w:val="932"/>
                <w:rFonts w:hint="eastAsia" w:ascii="宋体" w:hAnsi="宋体" w:cs="宋体"/>
                <w:color w:val="auto"/>
                <w:sz w:val="21"/>
                <w:szCs w:val="21"/>
                <w:highlight w:val="none"/>
                <w:lang w:val="en-US" w:eastAsia="zh-CN"/>
              </w:rPr>
              <w:t xml:space="preserve">的</w:t>
            </w:r>
            <w:r>
              <w:rPr>
                <w:rStyle w:val="932"/>
                <w:rFonts w:hint="eastAsia" w:ascii="宋体" w:hAnsi="宋体" w:eastAsia="宋体" w:cs="宋体"/>
                <w:color w:val="auto"/>
                <w:sz w:val="21"/>
                <w:szCs w:val="21"/>
                <w:highlight w:val="none"/>
              </w:rPr>
              <w:t xml:space="preserve">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不符合磋商文件要求或</w:t>
            </w:r>
            <w:r>
              <w:rPr>
                <w:rFonts w:hint="eastAsia" w:ascii="宋体" w:hAnsi="宋体" w:cs="宋体"/>
                <w:bCs/>
                <w:color w:val="auto"/>
                <w:szCs w:val="21"/>
                <w:highlight w:val="none"/>
                <w:lang w:val="en-US" w:eastAsia="zh-CN"/>
              </w:rPr>
              <w:t xml:space="preserve">未</w:t>
            </w:r>
            <w:r>
              <w:rPr>
                <w:rFonts w:hint="eastAsia" w:ascii="宋体" w:hAnsi="宋体" w:cs="宋体"/>
                <w:bCs/>
                <w:color w:val="auto"/>
                <w:szCs w:val="21"/>
                <w:highlight w:val="none"/>
              </w:rPr>
              <w:t xml:space="preserve">提供方案的不得分。</w:t>
            </w:r>
            <w:r/>
          </w:p>
        </w:tc>
        <w:tc>
          <w:tcPr>
            <w:tcW w:w="792"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分</w:t>
            </w:r>
            <w:r/>
          </w:p>
        </w:tc>
      </w:tr>
      <w:tr>
        <w:trPr>
          <w:cantSplit/>
        </w:trPr>
        <w:tc>
          <w:tcPr>
            <w:tcW w:w="792" w:type="dxa"/>
            <w:vAlign w:val="center"/>
            <w:textDirection w:val="lrTb"/>
            <w:noWrap w:val="false"/>
          </w:tcPr>
          <w:p>
            <w:pPr>
              <w:jc w:val="center"/>
              <w:keepNext/>
              <w:spacing w:line="40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7</w:t>
            </w:r>
            <w:r/>
          </w:p>
        </w:tc>
        <w:tc>
          <w:tcPr>
            <w:tcW w:w="1274"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项目质量管理</w:t>
            </w:r>
            <w:r/>
          </w:p>
        </w:tc>
        <w:tc>
          <w:tcPr>
            <w:tcW w:w="5930" w:type="dxa"/>
            <w:vAlign w:val="center"/>
            <w:textDirection w:val="lrTb"/>
            <w:noWrap w:val="false"/>
          </w:tcPr>
          <w:p>
            <w:pPr>
              <w:jc w:val="left"/>
              <w:spacing w:line="400" w:lineRule="exact"/>
              <w:tabs>
                <w:tab w:val="left" w:pos="2850" w:leader="none"/>
                <w:tab w:val="center" w:pos="4153" w:leader="none"/>
              </w:tabs>
              <w:rPr>
                <w:rStyle w:val="932"/>
                <w:rFonts w:ascii="宋体" w:hAnsi="宋体" w:cs="宋体"/>
                <w:color w:val="auto"/>
                <w:szCs w:val="21"/>
                <w:highlight w:val="none"/>
              </w:rPr>
            </w:pPr>
            <w:r>
              <w:rPr>
                <w:rStyle w:val="932"/>
                <w:rFonts w:hint="eastAsia" w:ascii="宋体" w:hAnsi="宋体" w:cs="宋体"/>
                <w:color w:val="auto"/>
                <w:szCs w:val="21"/>
                <w:highlight w:val="none"/>
              </w:rPr>
              <w:t xml:space="preserve">对供应商的管理措施和服务流程设计的合理性、科学性，以及工作流程管理的完备性进行综合评定。包括但不限于：出入库管理、设备维修、保养的质量控制流程，工程师行为规范及相关管理制度，配件库的相关管理制度。</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Style w:val="932"/>
                <w:rFonts w:hint="eastAsia" w:ascii="宋体" w:hAnsi="宋体" w:eastAsia="宋体" w:cs="宋体"/>
                <w:color w:val="auto"/>
                <w:sz w:val="21"/>
                <w:szCs w:val="21"/>
                <w:highlight w:val="none"/>
              </w:rPr>
              <w:t xml:space="preserve">方案科学合理</w:t>
            </w:r>
            <w:r>
              <w:rPr>
                <w:rStyle w:val="932"/>
                <w:rFonts w:hint="eastAsia" w:ascii="宋体" w:hAnsi="宋体" w:cs="宋体"/>
                <w:color w:val="auto"/>
                <w:sz w:val="21"/>
                <w:szCs w:val="21"/>
                <w:highlight w:val="none"/>
                <w:lang w:eastAsia="zh-CN"/>
              </w:rPr>
              <w:t xml:space="preserve">，出入库管理</w:t>
            </w:r>
            <w:r>
              <w:rPr>
                <w:rStyle w:val="932"/>
                <w:rFonts w:hint="eastAsia" w:ascii="宋体" w:hAnsi="宋体" w:cs="宋体"/>
                <w:color w:val="auto"/>
                <w:sz w:val="21"/>
                <w:szCs w:val="21"/>
                <w:highlight w:val="none"/>
                <w:lang w:val="en-US" w:eastAsia="zh-CN"/>
              </w:rPr>
              <w:t xml:space="preserve">内容全面</w:t>
            </w:r>
            <w:r>
              <w:rPr>
                <w:rStyle w:val="932"/>
                <w:rFonts w:hint="eastAsia" w:ascii="宋体" w:hAnsi="宋体" w:cs="宋体"/>
                <w:color w:val="auto"/>
                <w:sz w:val="21"/>
                <w:szCs w:val="21"/>
                <w:highlight w:val="none"/>
                <w:lang w:eastAsia="zh-CN"/>
              </w:rPr>
              <w:t xml:space="preserve">，</w:t>
            </w:r>
            <w:r>
              <w:rPr>
                <w:rStyle w:val="932"/>
                <w:rFonts w:hint="eastAsia" w:ascii="宋体" w:hAnsi="宋体" w:cs="宋体"/>
                <w:color w:val="auto"/>
                <w:szCs w:val="21"/>
                <w:highlight w:val="none"/>
              </w:rPr>
              <w:t xml:space="preserve">设备维修、保养的质量控制流程</w:t>
            </w:r>
            <w:r>
              <w:rPr>
                <w:rStyle w:val="932"/>
                <w:rFonts w:hint="eastAsia" w:ascii="宋体" w:hAnsi="宋体" w:eastAsia="宋体" w:cs="宋体"/>
                <w:color w:val="auto"/>
                <w:sz w:val="21"/>
                <w:szCs w:val="21"/>
                <w:highlight w:val="none"/>
              </w:rPr>
              <w:t xml:space="preserve">切实可行</w:t>
            </w:r>
            <w:r>
              <w:rPr>
                <w:rStyle w:val="932"/>
                <w:rFonts w:hint="eastAsia" w:ascii="宋体" w:hAnsi="宋体" w:cs="宋体"/>
                <w:color w:val="auto"/>
                <w:sz w:val="21"/>
                <w:szCs w:val="21"/>
                <w:highlight w:val="none"/>
                <w:lang w:eastAsia="zh-CN"/>
              </w:rPr>
              <w:t xml:space="preserve">，</w:t>
            </w:r>
            <w:r>
              <w:rPr>
                <w:rStyle w:val="932"/>
                <w:rFonts w:hint="eastAsia" w:ascii="宋体" w:hAnsi="宋体" w:cs="宋体"/>
                <w:color w:val="auto"/>
                <w:szCs w:val="21"/>
                <w:highlight w:val="none"/>
              </w:rPr>
              <w:t xml:space="preserve">工程师行为规范及相关管理制度</w:t>
            </w:r>
            <w:r>
              <w:rPr>
                <w:rStyle w:val="932"/>
                <w:rFonts w:hint="eastAsia" w:ascii="宋体" w:hAnsi="宋体" w:cs="宋体"/>
                <w:color w:val="auto"/>
                <w:szCs w:val="21"/>
                <w:highlight w:val="none"/>
                <w:lang w:eastAsia="zh-CN"/>
              </w:rPr>
              <w:t xml:space="preserve">、</w:t>
            </w:r>
            <w:r>
              <w:rPr>
                <w:rStyle w:val="932"/>
                <w:rFonts w:hint="eastAsia" w:ascii="宋体" w:hAnsi="宋体" w:cs="宋体"/>
                <w:color w:val="auto"/>
                <w:szCs w:val="21"/>
                <w:highlight w:val="none"/>
              </w:rPr>
              <w:t xml:space="preserve">配件库的相关管理制度</w:t>
            </w:r>
            <w:r>
              <w:rPr>
                <w:rStyle w:val="932"/>
                <w:rFonts w:hint="eastAsia" w:ascii="宋体" w:hAnsi="宋体" w:eastAsia="宋体" w:cs="宋体"/>
                <w:color w:val="auto"/>
                <w:sz w:val="21"/>
                <w:szCs w:val="21"/>
                <w:highlight w:val="none"/>
              </w:rPr>
              <w:t xml:space="preserve">针对性</w:t>
            </w:r>
            <w:r>
              <w:rPr>
                <w:rStyle w:val="932"/>
                <w:rFonts w:hint="eastAsia" w:ascii="宋体" w:hAnsi="宋体" w:cs="宋体"/>
                <w:color w:val="auto"/>
                <w:sz w:val="21"/>
                <w:szCs w:val="21"/>
                <w:highlight w:val="none"/>
                <w:lang w:val="en-US" w:eastAsia="zh-CN"/>
              </w:rPr>
              <w:t xml:space="preserve">强得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Style w:val="932"/>
                <w:rFonts w:hint="eastAsia" w:ascii="宋体" w:hAnsi="宋体" w:eastAsia="宋体" w:cs="宋体"/>
                <w:color w:val="auto"/>
                <w:sz w:val="21"/>
                <w:szCs w:val="21"/>
                <w:highlight w:val="none"/>
              </w:rPr>
              <w:t xml:space="preserve">方案</w:t>
            </w:r>
            <w:r>
              <w:rPr>
                <w:rStyle w:val="932"/>
                <w:rFonts w:hint="eastAsia" w:ascii="宋体" w:hAnsi="宋体" w:cs="宋体"/>
                <w:color w:val="auto"/>
                <w:sz w:val="21"/>
                <w:szCs w:val="21"/>
                <w:highlight w:val="none"/>
                <w:lang w:val="en-US" w:eastAsia="zh-CN"/>
              </w:rPr>
              <w:t xml:space="preserve">较</w:t>
            </w:r>
            <w:r>
              <w:rPr>
                <w:rStyle w:val="932"/>
                <w:rFonts w:hint="eastAsia" w:ascii="宋体" w:hAnsi="宋体" w:eastAsia="宋体" w:cs="宋体"/>
                <w:color w:val="auto"/>
                <w:sz w:val="21"/>
                <w:szCs w:val="21"/>
                <w:highlight w:val="none"/>
              </w:rPr>
              <w:t xml:space="preserve">合理</w:t>
            </w:r>
            <w:r>
              <w:rPr>
                <w:rStyle w:val="932"/>
                <w:rFonts w:hint="eastAsia" w:ascii="宋体" w:hAnsi="宋体" w:cs="宋体"/>
                <w:color w:val="auto"/>
                <w:sz w:val="21"/>
                <w:szCs w:val="21"/>
                <w:highlight w:val="none"/>
                <w:lang w:eastAsia="zh-CN"/>
              </w:rPr>
              <w:t xml:space="preserve">，出入库管理</w:t>
            </w:r>
            <w:r>
              <w:rPr>
                <w:rStyle w:val="932"/>
                <w:rFonts w:hint="eastAsia" w:ascii="宋体" w:hAnsi="宋体" w:cs="宋体"/>
                <w:color w:val="auto"/>
                <w:sz w:val="21"/>
                <w:szCs w:val="21"/>
                <w:highlight w:val="none"/>
                <w:lang w:val="en-US" w:eastAsia="zh-CN"/>
              </w:rPr>
              <w:t xml:space="preserve">内容基本全面，</w:t>
            </w:r>
            <w:r>
              <w:rPr>
                <w:rStyle w:val="932"/>
                <w:rFonts w:hint="eastAsia" w:ascii="宋体" w:hAnsi="宋体" w:cs="宋体"/>
                <w:color w:val="auto"/>
                <w:szCs w:val="21"/>
                <w:highlight w:val="none"/>
              </w:rPr>
              <w:t xml:space="preserve">设备维修、保养的质量控制流程</w:t>
            </w:r>
            <w:r>
              <w:rPr>
                <w:rStyle w:val="932"/>
                <w:rFonts w:hint="eastAsia" w:ascii="宋体" w:hAnsi="宋体" w:eastAsia="宋体" w:cs="宋体"/>
                <w:color w:val="auto"/>
                <w:sz w:val="21"/>
                <w:szCs w:val="21"/>
                <w:highlight w:val="none"/>
              </w:rPr>
              <w:t xml:space="preserve">可行</w:t>
            </w:r>
            <w:r>
              <w:rPr>
                <w:rStyle w:val="932"/>
                <w:rFonts w:hint="eastAsia" w:ascii="宋体" w:hAnsi="宋体" w:cs="宋体"/>
                <w:color w:val="auto"/>
                <w:sz w:val="21"/>
                <w:szCs w:val="21"/>
                <w:highlight w:val="none"/>
                <w:lang w:val="en-US" w:eastAsia="zh-CN"/>
              </w:rPr>
              <w:t xml:space="preserve">性较强，</w:t>
            </w:r>
            <w:r>
              <w:rPr>
                <w:rStyle w:val="932"/>
                <w:rFonts w:hint="eastAsia" w:ascii="宋体" w:hAnsi="宋体" w:cs="宋体"/>
                <w:color w:val="auto"/>
                <w:szCs w:val="21"/>
                <w:highlight w:val="none"/>
              </w:rPr>
              <w:t xml:space="preserve">工程师行为规范及相关管理制度</w:t>
            </w:r>
            <w:r>
              <w:rPr>
                <w:rStyle w:val="932"/>
                <w:rFonts w:hint="eastAsia" w:ascii="宋体" w:hAnsi="宋体" w:cs="宋体"/>
                <w:color w:val="auto"/>
                <w:szCs w:val="21"/>
                <w:highlight w:val="none"/>
                <w:lang w:eastAsia="zh-CN"/>
              </w:rPr>
              <w:t xml:space="preserve">、</w:t>
            </w:r>
            <w:r>
              <w:rPr>
                <w:rStyle w:val="932"/>
                <w:rFonts w:hint="eastAsia" w:ascii="宋体" w:hAnsi="宋体" w:cs="宋体"/>
                <w:color w:val="auto"/>
                <w:szCs w:val="21"/>
                <w:highlight w:val="none"/>
              </w:rPr>
              <w:t xml:space="preserve">配件库的相关管理制度</w:t>
            </w:r>
            <w:r>
              <w:rPr>
                <w:rStyle w:val="932"/>
                <w:rFonts w:hint="eastAsia" w:ascii="宋体" w:hAnsi="宋体" w:cs="宋体"/>
                <w:color w:val="auto"/>
                <w:sz w:val="21"/>
                <w:szCs w:val="21"/>
                <w:highlight w:val="none"/>
                <w:lang w:val="en-US" w:eastAsia="zh-CN"/>
              </w:rPr>
              <w:t xml:space="preserve">针对性较强得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Style w:val="932"/>
                <w:rFonts w:hint="eastAsia" w:ascii="宋体" w:hAnsi="宋体" w:cs="宋体"/>
                <w:color w:val="auto"/>
                <w:sz w:val="21"/>
                <w:szCs w:val="21"/>
                <w:highlight w:val="none"/>
                <w:lang w:val="en-US" w:eastAsia="zh-CN"/>
              </w:rPr>
              <w:t xml:space="preserve">方案合理性欠缺，</w:t>
            </w:r>
            <w:r>
              <w:rPr>
                <w:rStyle w:val="932"/>
                <w:rFonts w:hint="eastAsia" w:ascii="宋体" w:hAnsi="宋体" w:cs="宋体"/>
                <w:color w:val="auto"/>
                <w:sz w:val="21"/>
                <w:szCs w:val="21"/>
                <w:highlight w:val="none"/>
                <w:lang w:eastAsia="zh-CN"/>
              </w:rPr>
              <w:t xml:space="preserve">出入库管理</w:t>
            </w:r>
            <w:r>
              <w:rPr>
                <w:rStyle w:val="932"/>
                <w:rFonts w:hint="eastAsia" w:ascii="宋体" w:hAnsi="宋体" w:cs="宋体"/>
                <w:color w:val="auto"/>
                <w:sz w:val="21"/>
                <w:szCs w:val="21"/>
                <w:highlight w:val="none"/>
                <w:lang w:val="en-US" w:eastAsia="zh-CN"/>
              </w:rPr>
              <w:t xml:space="preserve">内容不全面，</w:t>
            </w:r>
            <w:r>
              <w:rPr>
                <w:rStyle w:val="932"/>
                <w:rFonts w:hint="eastAsia" w:ascii="宋体" w:hAnsi="宋体" w:cs="宋体"/>
                <w:color w:val="auto"/>
                <w:szCs w:val="21"/>
                <w:highlight w:val="none"/>
              </w:rPr>
              <w:t xml:space="preserve">设备维修、保养的质量控制流程</w:t>
            </w:r>
            <w:r>
              <w:rPr>
                <w:rStyle w:val="932"/>
                <w:rFonts w:hint="eastAsia" w:ascii="宋体" w:hAnsi="宋体" w:cs="宋体"/>
                <w:color w:val="auto"/>
                <w:sz w:val="21"/>
                <w:szCs w:val="21"/>
                <w:highlight w:val="none"/>
                <w:lang w:val="en-US" w:eastAsia="zh-CN"/>
              </w:rPr>
              <w:t xml:space="preserve">可行性和</w:t>
            </w:r>
            <w:r>
              <w:rPr>
                <w:rStyle w:val="932"/>
                <w:rFonts w:hint="eastAsia" w:ascii="宋体" w:hAnsi="宋体" w:cs="宋体"/>
                <w:color w:val="auto"/>
                <w:szCs w:val="21"/>
                <w:highlight w:val="none"/>
              </w:rPr>
              <w:t xml:space="preserve">工程师行为规范及相关管理制度</w:t>
            </w:r>
            <w:r>
              <w:rPr>
                <w:rStyle w:val="932"/>
                <w:rFonts w:hint="eastAsia" w:ascii="宋体" w:hAnsi="宋体" w:cs="宋体"/>
                <w:color w:val="auto"/>
                <w:szCs w:val="21"/>
                <w:highlight w:val="none"/>
                <w:lang w:eastAsia="zh-CN"/>
              </w:rPr>
              <w:t xml:space="preserve">、</w:t>
            </w:r>
            <w:r>
              <w:rPr>
                <w:rStyle w:val="932"/>
                <w:rFonts w:hint="eastAsia" w:ascii="宋体" w:hAnsi="宋体" w:cs="宋体"/>
                <w:color w:val="auto"/>
                <w:szCs w:val="21"/>
                <w:highlight w:val="none"/>
              </w:rPr>
              <w:t xml:space="preserve">配件库的相关管理制度</w:t>
            </w:r>
            <w:r>
              <w:rPr>
                <w:rStyle w:val="932"/>
                <w:rFonts w:hint="eastAsia" w:ascii="宋体" w:hAnsi="宋体" w:cs="宋体"/>
                <w:color w:val="auto"/>
                <w:sz w:val="21"/>
                <w:szCs w:val="21"/>
                <w:highlight w:val="none"/>
                <w:lang w:val="en-US" w:eastAsia="zh-CN"/>
              </w:rPr>
              <w:t xml:space="preserve">针对性差的</w:t>
            </w:r>
            <w:r>
              <w:rPr>
                <w:rStyle w:val="932"/>
                <w:rFonts w:hint="eastAsia" w:ascii="宋体" w:hAnsi="宋体" w:eastAsia="宋体" w:cs="宋体"/>
                <w:color w:val="auto"/>
                <w:sz w:val="21"/>
                <w:szCs w:val="21"/>
                <w:highlight w:val="none"/>
              </w:rPr>
              <w:t xml:space="preserve">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jc w:val="left"/>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不符合磋商文件要求或</w:t>
            </w:r>
            <w:r>
              <w:rPr>
                <w:rFonts w:hint="eastAsia" w:ascii="宋体" w:hAnsi="宋体" w:cs="宋体"/>
                <w:bCs/>
                <w:color w:val="auto"/>
                <w:szCs w:val="21"/>
                <w:highlight w:val="none"/>
                <w:lang w:val="en-US" w:eastAsia="zh-CN"/>
              </w:rPr>
              <w:t xml:space="preserve">未</w:t>
            </w:r>
            <w:r>
              <w:rPr>
                <w:rFonts w:hint="eastAsia" w:ascii="宋体" w:hAnsi="宋体" w:cs="宋体"/>
                <w:bCs/>
                <w:color w:val="auto"/>
                <w:szCs w:val="21"/>
                <w:highlight w:val="none"/>
              </w:rPr>
              <w:t xml:space="preserve">提供方案的不得分。</w:t>
            </w:r>
            <w:r/>
          </w:p>
        </w:tc>
        <w:tc>
          <w:tcPr>
            <w:tcW w:w="792"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分</w:t>
            </w:r>
            <w:r/>
          </w:p>
        </w:tc>
      </w:tr>
      <w:tr>
        <w:trPr>
          <w:cantSplit/>
        </w:trPr>
        <w:tc>
          <w:tcPr>
            <w:tcW w:w="792" w:type="dxa"/>
            <w:vAlign w:val="center"/>
            <w:textDirection w:val="lrTb"/>
            <w:noWrap w:val="false"/>
          </w:tcPr>
          <w:p>
            <w:pPr>
              <w:jc w:val="center"/>
              <w:keepNext/>
              <w:spacing w:line="40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8</w:t>
            </w:r>
            <w:r/>
          </w:p>
        </w:tc>
        <w:tc>
          <w:tcPr>
            <w:tcW w:w="1274"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巡检服务方案</w:t>
            </w:r>
            <w:r/>
          </w:p>
        </w:tc>
        <w:tc>
          <w:tcPr>
            <w:tcW w:w="5930" w:type="dxa"/>
            <w:vAlign w:val="center"/>
            <w:textDirection w:val="lrTb"/>
            <w:noWrap w:val="false"/>
          </w:tcPr>
          <w:p>
            <w:pPr>
              <w:jc w:val="left"/>
              <w:spacing w:line="400" w:lineRule="exact"/>
              <w:tabs>
                <w:tab w:val="left" w:pos="2850" w:leader="none"/>
                <w:tab w:val="center" w:pos="4153"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供应商提供巡检服务方案。方案至少包含完善的巡检制度（定期巡检、非定期巡检等）、巡检日志、归档管理制度等内容</w:t>
            </w:r>
            <w:r>
              <w:rPr>
                <w:rFonts w:hint="eastAsia" w:ascii="宋体" w:hAnsi="宋体"/>
                <w:color w:val="auto"/>
                <w:szCs w:val="21"/>
                <w:highlight w:val="none"/>
                <w:lang w:eastAsia="zh-CN"/>
              </w:rPr>
              <w:t xml:space="preserve">。</w:t>
            </w:r>
            <w:r/>
          </w:p>
          <w:p>
            <w:pPr>
              <w:jc w:val="left"/>
              <w:spacing w:line="400" w:lineRule="exact"/>
              <w:tabs>
                <w:tab w:val="left" w:pos="2850" w:leader="none"/>
                <w:tab w:val="center" w:pos="4153" w:leader="none"/>
              </w:tabs>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方案详细完整</w:t>
            </w:r>
            <w:r>
              <w:rPr>
                <w:rFonts w:hint="eastAsia" w:ascii="宋体" w:hAnsi="宋体"/>
                <w:b w:val="0"/>
                <w:bCs w:val="0"/>
                <w:color w:val="auto"/>
                <w:szCs w:val="21"/>
                <w:highlight w:val="none"/>
                <w:lang w:eastAsia="zh-CN"/>
              </w:rPr>
              <w:t xml:space="preserve">，定期巡检、非定期巡检两类机制合理</w:t>
            </w:r>
            <w:r>
              <w:rPr>
                <w:rFonts w:hint="eastAsia" w:ascii="宋体" w:hAnsi="宋体"/>
                <w:b w:val="0"/>
                <w:bCs w:val="0"/>
                <w:color w:val="auto"/>
                <w:szCs w:val="21"/>
                <w:highlight w:val="none"/>
              </w:rPr>
              <w:t xml:space="preserve">，提供</w:t>
            </w:r>
            <w:r>
              <w:rPr>
                <w:rFonts w:hint="eastAsia" w:ascii="宋体" w:hAnsi="宋体"/>
                <w:b w:val="0"/>
                <w:bCs w:val="0"/>
                <w:color w:val="auto"/>
                <w:szCs w:val="21"/>
                <w:highlight w:val="none"/>
                <w:lang w:eastAsia="zh-CN"/>
              </w:rPr>
              <w:t xml:space="preserve">针对性强的</w:t>
            </w:r>
            <w:r>
              <w:rPr>
                <w:rFonts w:hint="eastAsia" w:ascii="宋体" w:hAnsi="宋体"/>
                <w:b w:val="0"/>
                <w:bCs w:val="0"/>
                <w:color w:val="auto"/>
                <w:szCs w:val="21"/>
                <w:highlight w:val="none"/>
              </w:rPr>
              <w:t xml:space="preserve">标准化巡检日志模板</w:t>
            </w:r>
            <w:r>
              <w:rPr>
                <w:rFonts w:hint="eastAsia" w:ascii="宋体" w:hAnsi="宋体"/>
                <w:b w:val="0"/>
                <w:bCs w:val="0"/>
                <w:color w:val="auto"/>
                <w:szCs w:val="21"/>
                <w:highlight w:val="none"/>
                <w:lang w:eastAsia="zh-CN"/>
              </w:rPr>
              <w:t xml:space="preserve">、归档管理制度等的</w:t>
            </w:r>
            <w:r>
              <w:rPr>
                <w:rFonts w:hint="eastAsia" w:ascii="宋体" w:hAnsi="宋体"/>
                <w:b w:val="0"/>
                <w:bCs w:val="0"/>
                <w:color w:val="auto"/>
                <w:szCs w:val="21"/>
                <w:highlight w:val="none"/>
              </w:rPr>
              <w:t xml:space="preserve">得</w:t>
            </w:r>
            <w:r>
              <w:rPr>
                <w:rFonts w:hint="eastAsia" w:ascii="宋体" w:hAnsi="宋体"/>
                <w:b w:val="0"/>
                <w:bCs w:val="0"/>
                <w:color w:val="auto"/>
                <w:szCs w:val="21"/>
                <w:highlight w:val="none"/>
                <w:lang w:val="en-US" w:eastAsia="zh-CN"/>
              </w:rPr>
              <w:t xml:space="preserve">6</w:t>
            </w:r>
            <w:r>
              <w:rPr>
                <w:rFonts w:hint="eastAsia" w:ascii="宋体" w:hAnsi="宋体"/>
                <w:b w:val="0"/>
                <w:bCs w:val="0"/>
                <w:color w:val="auto"/>
                <w:szCs w:val="21"/>
                <w:highlight w:val="none"/>
              </w:rPr>
              <w:t xml:space="preserve">分</w:t>
            </w:r>
            <w:r>
              <w:rPr>
                <w:rFonts w:hint="eastAsia" w:ascii="宋体" w:hAnsi="宋体"/>
                <w:b w:val="0"/>
                <w:bCs w:val="0"/>
                <w:color w:val="auto"/>
                <w:szCs w:val="21"/>
                <w:highlight w:val="none"/>
                <w:lang w:eastAsia="zh-CN"/>
              </w:rPr>
              <w:t xml:space="preserve">；</w:t>
            </w:r>
            <w:r/>
          </w:p>
          <w:p>
            <w:pPr>
              <w:jc w:val="left"/>
              <w:spacing w:line="400" w:lineRule="exact"/>
              <w:tabs>
                <w:tab w:val="left" w:pos="2850" w:leader="none"/>
                <w:tab w:val="center" w:pos="4153" w:leader="none"/>
              </w:tabs>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方案较详细完整，</w:t>
            </w:r>
            <w:r>
              <w:rPr>
                <w:rFonts w:hint="eastAsia" w:ascii="宋体" w:hAnsi="宋体"/>
                <w:b w:val="0"/>
                <w:bCs w:val="0"/>
                <w:color w:val="auto"/>
                <w:szCs w:val="21"/>
                <w:highlight w:val="none"/>
                <w:lang w:eastAsia="zh-CN"/>
              </w:rPr>
              <w:t xml:space="preserve">定期巡检、非定期巡检两类机制合理</w:t>
            </w:r>
            <w:r>
              <w:rPr>
                <w:rFonts w:hint="eastAsia" w:ascii="宋体" w:hAnsi="宋体"/>
                <w:b w:val="0"/>
                <w:bCs w:val="0"/>
                <w:color w:val="auto"/>
                <w:szCs w:val="21"/>
                <w:highlight w:val="none"/>
              </w:rPr>
              <w:t xml:space="preserve">较合理，提供</w:t>
            </w:r>
            <w:r>
              <w:rPr>
                <w:rFonts w:hint="eastAsia" w:ascii="宋体" w:hAnsi="宋体"/>
                <w:b w:val="0"/>
                <w:bCs w:val="0"/>
                <w:color w:val="auto"/>
                <w:szCs w:val="21"/>
                <w:highlight w:val="none"/>
                <w:lang w:eastAsia="zh-CN"/>
              </w:rPr>
              <w:t xml:space="preserve">针对性较强的</w:t>
            </w:r>
            <w:r>
              <w:rPr>
                <w:rFonts w:hint="eastAsia" w:ascii="宋体" w:hAnsi="宋体"/>
                <w:b w:val="0"/>
                <w:bCs w:val="0"/>
                <w:color w:val="auto"/>
                <w:szCs w:val="21"/>
                <w:highlight w:val="none"/>
              </w:rPr>
              <w:t xml:space="preserve">标准化巡检日志模板</w:t>
            </w:r>
            <w:r>
              <w:rPr>
                <w:rFonts w:hint="eastAsia" w:ascii="宋体" w:hAnsi="宋体"/>
                <w:b w:val="0"/>
                <w:bCs w:val="0"/>
                <w:color w:val="auto"/>
                <w:szCs w:val="21"/>
                <w:highlight w:val="none"/>
                <w:lang w:eastAsia="zh-CN"/>
              </w:rPr>
              <w:t xml:space="preserve">、归档管理制度等的</w:t>
            </w:r>
            <w:r>
              <w:rPr>
                <w:rFonts w:hint="eastAsia" w:ascii="宋体" w:hAnsi="宋体"/>
                <w:b w:val="0"/>
                <w:bCs w:val="0"/>
                <w:color w:val="auto"/>
                <w:szCs w:val="21"/>
                <w:highlight w:val="none"/>
              </w:rPr>
              <w:t xml:space="preserve">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分；</w:t>
            </w:r>
            <w:r/>
          </w:p>
          <w:p>
            <w:pPr>
              <w:jc w:val="left"/>
              <w:spacing w:line="400" w:lineRule="exact"/>
              <w:tabs>
                <w:tab w:val="left" w:pos="2850" w:leader="none"/>
                <w:tab w:val="center" w:pos="4153"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方案内容粗糙，巡检制度（定期巡检、非定期巡检等）、巡检日志、归档管理制度针对性不强的得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jc w:val="left"/>
              <w:spacing w:line="400" w:lineRule="exact"/>
              <w:tabs>
                <w:tab w:val="left" w:pos="2850" w:leader="none"/>
                <w:tab w:val="center" w:pos="4153" w:leader="none"/>
              </w:tabs>
              <w:rPr>
                <w:rStyle w:val="932"/>
                <w:rFonts w:ascii="宋体" w:hAnsi="宋体" w:cs="宋体"/>
                <w:color w:val="auto"/>
                <w:szCs w:val="21"/>
                <w:highlight w:val="none"/>
              </w:rPr>
            </w:pPr>
            <w:r>
              <w:rPr>
                <w:rFonts w:hint="eastAsia" w:ascii="宋体" w:hAnsi="宋体"/>
                <w:color w:val="auto"/>
                <w:szCs w:val="21"/>
                <w:highlight w:val="none"/>
                <w:lang w:val="en-US" w:eastAsia="zh-CN"/>
              </w:rPr>
              <w:t xml:space="preserve">4.未提供方案</w:t>
            </w:r>
            <w:r>
              <w:rPr>
                <w:rFonts w:hint="eastAsia" w:ascii="宋体" w:hAnsi="宋体"/>
                <w:color w:val="auto"/>
                <w:szCs w:val="21"/>
                <w:highlight w:val="none"/>
              </w:rPr>
              <w:t xml:space="preserve">不得分。</w:t>
            </w:r>
            <w:r/>
          </w:p>
        </w:tc>
        <w:tc>
          <w:tcPr>
            <w:tcW w:w="792"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tc>
      </w:tr>
      <w:tr>
        <w:trPr>
          <w:cantSplit/>
        </w:trPr>
        <w:tc>
          <w:tcPr>
            <w:tcW w:w="792" w:type="dxa"/>
            <w:vAlign w:val="center"/>
            <w:textDirection w:val="lrTb"/>
            <w:noWrap w:val="false"/>
          </w:tcPr>
          <w:p>
            <w:pPr>
              <w:jc w:val="center"/>
              <w:keepNext/>
              <w:spacing w:line="400" w:lineRule="exac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9</w:t>
            </w:r>
            <w:r/>
          </w:p>
        </w:tc>
        <w:tc>
          <w:tcPr>
            <w:tcW w:w="1274"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应急措施方案</w:t>
            </w:r>
            <w:r/>
          </w:p>
        </w:tc>
        <w:tc>
          <w:tcPr>
            <w:tcW w:w="5930" w:type="dxa"/>
            <w:vAlign w:val="center"/>
            <w:textDirection w:val="lrTb"/>
            <w:noWrap w:val="false"/>
          </w:tcPr>
          <w:p>
            <w:pPr>
              <w:jc w:val="left"/>
              <w:spacing w:line="400" w:lineRule="exact"/>
              <w:tabs>
                <w:tab w:val="left" w:pos="2850" w:leader="none"/>
                <w:tab w:val="center" w:pos="4153" w:leader="none"/>
              </w:tabs>
              <w:rPr>
                <w:rStyle w:val="932"/>
                <w:rFonts w:hint="eastAsia" w:ascii="宋体" w:hAnsi="宋体" w:eastAsia="宋体" w:cs="宋体"/>
                <w:color w:val="auto"/>
                <w:szCs w:val="21"/>
                <w:highlight w:val="none"/>
                <w:lang w:eastAsia="zh-CN"/>
              </w:rPr>
            </w:pPr>
            <w:r>
              <w:rPr>
                <w:rStyle w:val="932"/>
                <w:rFonts w:hint="eastAsia" w:ascii="宋体" w:hAnsi="宋体" w:cs="宋体"/>
                <w:color w:val="auto"/>
                <w:szCs w:val="21"/>
                <w:highlight w:val="none"/>
              </w:rPr>
              <w:t xml:space="preserve">根据供应商提供的应急响应方案进行打分，包括但不限于：故障响应时间、应急处置、系统重大故障的应急预案以及措施安排等</w:t>
            </w:r>
            <w:r>
              <w:rPr>
                <w:rStyle w:val="932"/>
                <w:rFonts w:hint="eastAsia" w:ascii="宋体" w:hAnsi="宋体" w:cs="宋体"/>
                <w:color w:val="auto"/>
                <w:szCs w:val="21"/>
                <w:highlight w:val="none"/>
                <w:lang w:eastAsia="zh-CN"/>
              </w:rPr>
              <w:t xml:space="preserve">。</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Style w:val="932"/>
                <w:rFonts w:hint="eastAsia" w:ascii="宋体" w:hAnsi="宋体" w:eastAsia="宋体" w:cs="宋体"/>
                <w:color w:val="auto"/>
                <w:sz w:val="21"/>
                <w:szCs w:val="21"/>
                <w:highlight w:val="none"/>
              </w:rPr>
              <w:t xml:space="preserve">方案科学合理</w:t>
            </w:r>
            <w:r>
              <w:rPr>
                <w:rStyle w:val="932"/>
                <w:rFonts w:hint="eastAsia" w:ascii="宋体" w:hAnsi="宋体" w:cs="宋体"/>
                <w:color w:val="auto"/>
                <w:sz w:val="21"/>
                <w:szCs w:val="21"/>
                <w:highlight w:val="none"/>
                <w:lang w:eastAsia="zh-CN"/>
              </w:rPr>
              <w:t xml:space="preserve">，</w:t>
            </w:r>
            <w:r>
              <w:rPr>
                <w:rStyle w:val="932"/>
                <w:rFonts w:hint="eastAsia" w:ascii="宋体" w:hAnsi="宋体" w:cs="宋体"/>
                <w:color w:val="auto"/>
                <w:szCs w:val="21"/>
                <w:highlight w:val="none"/>
              </w:rPr>
              <w:t xml:space="preserve">故障响应时间</w:t>
            </w:r>
            <w:r>
              <w:rPr>
                <w:rStyle w:val="932"/>
                <w:rFonts w:hint="eastAsia" w:ascii="宋体" w:hAnsi="宋体" w:cs="宋体"/>
                <w:color w:val="auto"/>
                <w:szCs w:val="21"/>
                <w:highlight w:val="none"/>
                <w:lang w:eastAsia="zh-CN"/>
              </w:rPr>
              <w:t xml:space="preserve">快，</w:t>
            </w:r>
            <w:r>
              <w:rPr>
                <w:rStyle w:val="932"/>
                <w:rFonts w:hint="eastAsia" w:ascii="宋体" w:hAnsi="宋体" w:cs="宋体"/>
                <w:color w:val="auto"/>
                <w:szCs w:val="21"/>
                <w:highlight w:val="none"/>
              </w:rPr>
              <w:t xml:space="preserve">应急处置</w:t>
            </w:r>
            <w:r>
              <w:rPr>
                <w:rStyle w:val="932"/>
                <w:rFonts w:hint="eastAsia" w:ascii="宋体" w:hAnsi="宋体" w:cs="宋体"/>
                <w:color w:val="auto"/>
                <w:szCs w:val="21"/>
                <w:highlight w:val="none"/>
                <w:lang w:eastAsia="zh-CN"/>
              </w:rPr>
              <w:t xml:space="preserve">预案完整，</w:t>
            </w:r>
            <w:r>
              <w:rPr>
                <w:rStyle w:val="932"/>
                <w:rFonts w:hint="eastAsia" w:ascii="宋体" w:hAnsi="宋体" w:cs="宋体"/>
                <w:color w:val="auto"/>
                <w:szCs w:val="21"/>
                <w:highlight w:val="none"/>
              </w:rPr>
              <w:t xml:space="preserve">系统重大故障的应急预案以及措施安排</w:t>
            </w:r>
            <w:r>
              <w:rPr>
                <w:rStyle w:val="932"/>
                <w:rFonts w:hint="eastAsia" w:ascii="宋体" w:hAnsi="宋体" w:cs="宋体"/>
                <w:color w:val="auto"/>
                <w:sz w:val="21"/>
                <w:szCs w:val="21"/>
                <w:highlight w:val="none"/>
                <w:lang w:val="en-US" w:eastAsia="zh-CN"/>
              </w:rPr>
              <w:t xml:space="preserve">全面</w:t>
            </w:r>
            <w:r>
              <w:rPr>
                <w:rStyle w:val="932"/>
                <w:rFonts w:hint="eastAsia" w:ascii="宋体" w:hAnsi="宋体" w:eastAsia="宋体" w:cs="宋体"/>
                <w:color w:val="auto"/>
                <w:sz w:val="21"/>
                <w:szCs w:val="21"/>
                <w:highlight w:val="none"/>
              </w:rPr>
              <w:t xml:space="preserve">、针对性</w:t>
            </w:r>
            <w:r>
              <w:rPr>
                <w:rStyle w:val="932"/>
                <w:rFonts w:hint="eastAsia" w:ascii="宋体" w:hAnsi="宋体" w:cs="宋体"/>
                <w:color w:val="auto"/>
                <w:sz w:val="21"/>
                <w:szCs w:val="21"/>
                <w:highlight w:val="none"/>
                <w:lang w:val="en-US" w:eastAsia="zh-CN"/>
              </w:rPr>
              <w:t xml:space="preserve">强的得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Style w:val="932"/>
                <w:rFonts w:hint="eastAsia" w:ascii="宋体" w:hAnsi="宋体" w:eastAsia="宋体" w:cs="宋体"/>
                <w:color w:val="auto"/>
                <w:sz w:val="21"/>
                <w:szCs w:val="21"/>
                <w:highlight w:val="none"/>
              </w:rPr>
              <w:t xml:space="preserve">方案</w:t>
            </w:r>
            <w:r>
              <w:rPr>
                <w:rStyle w:val="932"/>
                <w:rFonts w:hint="eastAsia" w:ascii="宋体" w:hAnsi="宋体" w:cs="宋体"/>
                <w:color w:val="auto"/>
                <w:sz w:val="21"/>
                <w:szCs w:val="21"/>
                <w:highlight w:val="none"/>
                <w:lang w:val="en-US" w:eastAsia="zh-CN"/>
              </w:rPr>
              <w:t xml:space="preserve">较</w:t>
            </w:r>
            <w:r>
              <w:rPr>
                <w:rStyle w:val="932"/>
                <w:rFonts w:hint="eastAsia" w:ascii="宋体" w:hAnsi="宋体" w:eastAsia="宋体" w:cs="宋体"/>
                <w:color w:val="auto"/>
                <w:sz w:val="21"/>
                <w:szCs w:val="21"/>
                <w:highlight w:val="none"/>
              </w:rPr>
              <w:t xml:space="preserve">合理</w:t>
            </w:r>
            <w:r>
              <w:rPr>
                <w:rStyle w:val="932"/>
                <w:rFonts w:hint="eastAsia" w:ascii="宋体" w:hAnsi="宋体" w:cs="宋体"/>
                <w:color w:val="auto"/>
                <w:sz w:val="21"/>
                <w:szCs w:val="21"/>
                <w:highlight w:val="none"/>
                <w:lang w:eastAsia="zh-CN"/>
              </w:rPr>
              <w:t xml:space="preserve">，</w:t>
            </w:r>
            <w:r>
              <w:rPr>
                <w:rStyle w:val="932"/>
                <w:rFonts w:hint="eastAsia" w:ascii="宋体" w:hAnsi="宋体" w:cs="宋体"/>
                <w:color w:val="auto"/>
                <w:szCs w:val="21"/>
                <w:highlight w:val="none"/>
              </w:rPr>
              <w:t xml:space="preserve">故障响应时间</w:t>
            </w:r>
            <w:r>
              <w:rPr>
                <w:rStyle w:val="932"/>
                <w:rFonts w:hint="eastAsia" w:ascii="宋体" w:hAnsi="宋体" w:cs="宋体"/>
                <w:color w:val="auto"/>
                <w:szCs w:val="21"/>
                <w:highlight w:val="none"/>
                <w:lang w:eastAsia="zh-CN"/>
              </w:rPr>
              <w:t xml:space="preserve">较快，</w:t>
            </w:r>
            <w:r>
              <w:rPr>
                <w:rStyle w:val="932"/>
                <w:rFonts w:hint="eastAsia" w:ascii="宋体" w:hAnsi="宋体" w:cs="宋体"/>
                <w:color w:val="auto"/>
                <w:szCs w:val="21"/>
                <w:highlight w:val="none"/>
              </w:rPr>
              <w:t xml:space="preserve">应急处置</w:t>
            </w:r>
            <w:r>
              <w:rPr>
                <w:rStyle w:val="932"/>
                <w:rFonts w:hint="eastAsia" w:ascii="宋体" w:hAnsi="宋体" w:cs="宋体"/>
                <w:color w:val="auto"/>
                <w:szCs w:val="21"/>
                <w:highlight w:val="none"/>
                <w:lang w:eastAsia="zh-CN"/>
              </w:rPr>
              <w:t xml:space="preserve">预案较完整，</w:t>
            </w:r>
            <w:r>
              <w:rPr>
                <w:rStyle w:val="932"/>
                <w:rFonts w:hint="eastAsia" w:ascii="宋体" w:hAnsi="宋体" w:cs="宋体"/>
                <w:color w:val="auto"/>
                <w:szCs w:val="21"/>
                <w:highlight w:val="none"/>
              </w:rPr>
              <w:t xml:space="preserve">系统重大故障的应急预案以及措施安排</w:t>
            </w:r>
            <w:r>
              <w:rPr>
                <w:rStyle w:val="932"/>
                <w:rFonts w:hint="eastAsia" w:ascii="宋体" w:hAnsi="宋体" w:cs="宋体"/>
                <w:color w:val="auto"/>
                <w:sz w:val="21"/>
                <w:szCs w:val="21"/>
                <w:highlight w:val="none"/>
                <w:lang w:val="en-US" w:eastAsia="zh-CN"/>
              </w:rPr>
              <w:t xml:space="preserve">基本全面、针对性较强的得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numPr>
                <w:ilvl w:val="0"/>
                <w:numId w:val="0"/>
              </w:numPr>
              <w:jc w:val="left"/>
              <w:spacing w:line="400" w:lineRule="exact"/>
              <w:tabs>
                <w:tab w:val="left" w:pos="2850"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Style w:val="932"/>
                <w:rFonts w:hint="eastAsia" w:ascii="宋体" w:hAnsi="宋体" w:cs="宋体"/>
                <w:color w:val="auto"/>
                <w:sz w:val="21"/>
                <w:szCs w:val="21"/>
                <w:highlight w:val="none"/>
                <w:lang w:val="en-US" w:eastAsia="zh-CN"/>
              </w:rPr>
              <w:t xml:space="preserve">方案合理性欠缺，</w:t>
            </w:r>
            <w:r>
              <w:rPr>
                <w:rStyle w:val="932"/>
                <w:rFonts w:hint="eastAsia" w:ascii="宋体" w:hAnsi="宋体" w:cs="宋体"/>
                <w:color w:val="auto"/>
                <w:szCs w:val="21"/>
                <w:highlight w:val="none"/>
              </w:rPr>
              <w:t xml:space="preserve">故障响应时间</w:t>
            </w:r>
            <w:r>
              <w:rPr>
                <w:rStyle w:val="932"/>
                <w:rFonts w:hint="eastAsia" w:ascii="宋体" w:hAnsi="宋体" w:cs="宋体"/>
                <w:color w:val="auto"/>
                <w:szCs w:val="21"/>
                <w:highlight w:val="none"/>
                <w:lang w:eastAsia="zh-CN"/>
              </w:rPr>
              <w:t xml:space="preserve">慢，</w:t>
            </w:r>
            <w:r>
              <w:rPr>
                <w:rStyle w:val="932"/>
                <w:rFonts w:hint="eastAsia" w:ascii="宋体" w:hAnsi="宋体" w:cs="宋体"/>
                <w:color w:val="auto"/>
                <w:szCs w:val="21"/>
                <w:highlight w:val="none"/>
              </w:rPr>
              <w:t xml:space="preserve">应急处置</w:t>
            </w:r>
            <w:r>
              <w:rPr>
                <w:rStyle w:val="932"/>
                <w:rFonts w:hint="eastAsia" w:ascii="宋体" w:hAnsi="宋体" w:cs="宋体"/>
                <w:color w:val="auto"/>
                <w:szCs w:val="21"/>
                <w:highlight w:val="none"/>
                <w:lang w:eastAsia="zh-CN"/>
              </w:rPr>
              <w:t xml:space="preserve">预案差，</w:t>
            </w:r>
            <w:r>
              <w:rPr>
                <w:rStyle w:val="932"/>
                <w:rFonts w:hint="eastAsia" w:ascii="宋体" w:hAnsi="宋体" w:cs="宋体"/>
                <w:color w:val="auto"/>
                <w:szCs w:val="21"/>
                <w:highlight w:val="none"/>
              </w:rPr>
              <w:t xml:space="preserve">系统重大故障的应急预案以及措施安排</w:t>
            </w:r>
            <w:r>
              <w:rPr>
                <w:rStyle w:val="932"/>
                <w:rFonts w:hint="eastAsia" w:ascii="宋体" w:hAnsi="宋体" w:cs="宋体"/>
                <w:color w:val="auto"/>
                <w:sz w:val="21"/>
                <w:szCs w:val="21"/>
                <w:highlight w:val="none"/>
                <w:lang w:val="en-US" w:eastAsia="zh-CN"/>
              </w:rPr>
              <w:t xml:space="preserve">不全面、针对性差的</w:t>
            </w:r>
            <w:r>
              <w:rPr>
                <w:rStyle w:val="932"/>
                <w:rFonts w:hint="eastAsia" w:ascii="宋体" w:hAnsi="宋体" w:eastAsia="宋体" w:cs="宋体"/>
                <w:color w:val="auto"/>
                <w:sz w:val="21"/>
                <w:szCs w:val="21"/>
                <w:highlight w:val="none"/>
              </w:rPr>
              <w:t xml:space="preserve">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jc w:val="left"/>
              <w:spacing w:line="400" w:lineRule="exact"/>
              <w:tabs>
                <w:tab w:val="left" w:pos="2850" w:leader="none"/>
                <w:tab w:val="center" w:pos="4153" w:leader="none"/>
              </w:tabs>
              <w:rPr>
                <w:rStyle w:val="932"/>
                <w:rFonts w:ascii="宋体" w:hAnsi="宋体" w:cs="宋体"/>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不符合磋商文件要求或</w:t>
            </w:r>
            <w:r>
              <w:rPr>
                <w:rFonts w:hint="eastAsia" w:ascii="宋体" w:hAnsi="宋体" w:cs="宋体"/>
                <w:bCs/>
                <w:color w:val="auto"/>
                <w:szCs w:val="21"/>
                <w:highlight w:val="none"/>
                <w:lang w:val="en-US" w:eastAsia="zh-CN"/>
              </w:rPr>
              <w:t xml:space="preserve">未</w:t>
            </w:r>
            <w:r>
              <w:rPr>
                <w:rFonts w:hint="eastAsia" w:ascii="宋体" w:hAnsi="宋体" w:cs="宋体"/>
                <w:bCs/>
                <w:color w:val="auto"/>
                <w:szCs w:val="21"/>
                <w:highlight w:val="none"/>
              </w:rPr>
              <w:t xml:space="preserve">提供方案的不得分。</w:t>
            </w:r>
            <w:r/>
          </w:p>
        </w:tc>
        <w:tc>
          <w:tcPr>
            <w:tcW w:w="792" w:type="dxa"/>
            <w:vAlign w:val="center"/>
            <w:textDirection w:val="lrTb"/>
            <w:noWrap w:val="false"/>
          </w:tcPr>
          <w:p>
            <w:pPr>
              <w:jc w:val="center"/>
              <w:spacing w:line="40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8分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strike w:val="0"/>
          <w:color w:val="auto"/>
          <w:sz w:val="24"/>
          <w:szCs w:val="24"/>
          <w:highlight w:val="none"/>
        </w:rPr>
        <w:t xml:space="preserve">：</w:t>
      </w:r>
      <w:r>
        <w:rPr>
          <w:rFonts w:hint="eastAsia" w:ascii="宋体" w:hAnsi="宋体" w:eastAsia="宋体" w:cs="宋体"/>
          <w:b/>
          <w:bCs/>
          <w:color w:val="auto"/>
          <w:sz w:val="24"/>
          <w:szCs w:val="24"/>
          <w:highlight w:val="none"/>
        </w:rPr>
        <w:t xml:space="preserve">以上评标办法中所涉及到的相关业绩证明材料、企业及人员证书等，</w:t>
      </w:r>
      <w:r>
        <w:rPr>
          <w:rFonts w:hint="eastAsia" w:ascii="宋体" w:hAnsi="宋体" w:cs="宋体"/>
          <w:b/>
          <w:bCs/>
          <w:color w:val="auto"/>
          <w:sz w:val="24"/>
          <w:szCs w:val="24"/>
          <w:highlight w:val="none"/>
          <w:lang w:val="en-US" w:eastAsia="zh-CN"/>
        </w:rPr>
        <w:t xml:space="preserve">采购人有权</w:t>
      </w:r>
      <w:r>
        <w:rPr>
          <w:rFonts w:hint="eastAsia" w:ascii="宋体" w:hAnsi="宋体" w:eastAsia="宋体" w:cs="宋体"/>
          <w:b/>
          <w:bCs/>
          <w:color w:val="auto"/>
          <w:sz w:val="24"/>
          <w:szCs w:val="24"/>
          <w:highlight w:val="none"/>
        </w:rPr>
        <w:t xml:space="preserve">在成交后</w:t>
      </w:r>
      <w:r>
        <w:rPr>
          <w:rFonts w:hint="eastAsia" w:ascii="宋体" w:hAnsi="宋体" w:cs="宋体"/>
          <w:b/>
          <w:bCs/>
          <w:strike w:val="0"/>
          <w:color w:val="auto"/>
          <w:sz w:val="24"/>
          <w:szCs w:val="24"/>
          <w:highlight w:val="none"/>
          <w:lang w:val="en-US" w:eastAsia="zh-CN"/>
        </w:rPr>
        <w:t xml:space="preserve">要求成交供应商</w:t>
      </w:r>
      <w:r>
        <w:rPr>
          <w:rFonts w:hint="eastAsia" w:ascii="宋体" w:hAnsi="宋体" w:eastAsia="宋体" w:cs="宋体"/>
          <w:b/>
          <w:bCs/>
          <w:color w:val="auto"/>
          <w:sz w:val="24"/>
          <w:szCs w:val="24"/>
          <w:highlight w:val="none"/>
        </w:rPr>
        <w:t xml:space="preserve">提供所有原件核查。若不能按</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提供或提供虚假材料的，采购人有权取消其成交资格。</w:t>
      </w:r>
      <w:r/>
    </w:p>
    <w:p>
      <w:pPr>
        <w:jc w:val="center"/>
        <w:rPr>
          <w:rFonts w:hint="eastAsia" w:ascii="宋体" w:hAnsi="宋体" w:eastAsia="宋体" w:cs="宋体"/>
          <w:color w:val="auto"/>
          <w:sz w:val="44"/>
          <w:szCs w:val="44"/>
          <w:highlight w:val="none"/>
        </w:rPr>
        <w:outlineLvl w:val="0"/>
      </w:pPr>
      <w:r/>
      <w:bookmarkStart w:id="198" w:name="_Toc28376"/>
      <w:r/>
      <w:r/>
    </w:p>
    <w:p>
      <w:pPr>
        <w:pStyle w:val="756"/>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both"/>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98"/>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9" w:name="_Toc49090576"/>
      <w:r/>
      <w:bookmarkEnd w:id="199"/>
      <w:r/>
      <w:bookmarkStart w:id="200" w:name="_Hlt26671244"/>
      <w:r/>
      <w:bookmarkEnd w:id="200"/>
      <w:r/>
      <w:bookmarkStart w:id="201" w:name="_Toc120614282"/>
      <w:r/>
      <w:bookmarkEnd w:id="201"/>
      <w:r/>
      <w:bookmarkStart w:id="202" w:name="_Hlt26955039"/>
      <w:r/>
      <w:bookmarkEnd w:id="202"/>
      <w:r/>
      <w:bookmarkStart w:id="203" w:name="_Toc26554094"/>
      <w:r/>
      <w:bookmarkEnd w:id="203"/>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有依法缴纳税收和社会保障资金的良好记录：</w:t>
      </w:r>
      <w:r>
        <w:rPr>
          <w:rFonts w:hint="eastAsia" w:ascii="宋体" w:hAnsi="宋体" w:eastAsia="宋体" w:cs="宋体"/>
          <w:color w:val="auto"/>
          <w:sz w:val="24"/>
          <w:szCs w:val="24"/>
          <w:highlight w:val="none"/>
          <w:u w:val="single"/>
        </w:rPr>
        <w:t xml:space="preserve">提供供应商近六个月中任意一个月份（不含磋商响应文件递交当月）依法缴纳税收及缴纳社会保障资金的证明材料。磋商供应商依法享受缓缴、免缴税收、社会保障资金的提供证明材料；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四、具备履行合同所必需的设备和专业技术能力的书面声明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strike/>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六</w:t>
      </w:r>
      <w:r>
        <w:rPr>
          <w:rFonts w:hint="eastAsia" w:ascii="宋体" w:hAnsi="宋体" w:eastAsia="宋体" w:cs="宋体"/>
          <w:color w:val="auto"/>
          <w:sz w:val="24"/>
          <w:szCs w:val="24"/>
          <w:highlight w:val="none"/>
          <w:u w:val="single"/>
        </w:rPr>
        <w:t xml:space="preserve">、法人授权书</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eastAsia="zh-CN"/>
        </w:rPr>
        <w:t xml:space="preserve">七</w:t>
      </w:r>
      <w:r>
        <w:rPr>
          <w:rFonts w:hint="eastAsia" w:ascii="宋体" w:hAnsi="宋体" w:eastAsia="宋体" w:cs="宋体"/>
          <w:color w:val="auto"/>
          <w:sz w:val="24"/>
          <w:szCs w:val="24"/>
          <w:highlight w:val="none"/>
          <w:u w:val="single"/>
        </w:rPr>
        <w:t xml:space="preserve">、磋商响应函、磋商报价表</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八</w:t>
      </w:r>
      <w:r>
        <w:rPr>
          <w:rFonts w:hint="eastAsia" w:ascii="宋体" w:hAnsi="宋体" w:eastAsia="宋体" w:cs="宋体"/>
          <w:color w:val="auto"/>
          <w:sz w:val="24"/>
          <w:szCs w:val="24"/>
          <w:highlight w:val="none"/>
          <w:u w:val="single"/>
        </w:rPr>
        <w:t xml:space="preserve">、中小企业声明函或监狱企业、残疾人福利性单位的证明资料；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九</w:t>
      </w:r>
      <w:r>
        <w:rPr>
          <w:rFonts w:hint="eastAsia" w:ascii="宋体" w:hAnsi="宋体" w:eastAsia="宋体" w:cs="宋体"/>
          <w:color w:val="auto"/>
          <w:sz w:val="24"/>
          <w:szCs w:val="24"/>
          <w:highlight w:val="none"/>
          <w:u w:val="single"/>
        </w:rPr>
        <w:t xml:space="preserve">、商务及技术要求响应及偏离表；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十、投标承诺书</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、按照评分办法应当递交的其他资料</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十二、项目实施拟服务人员花名册；</w:t>
      </w:r>
      <w:r/>
    </w:p>
    <w:p>
      <w:pPr>
        <w:ind w:left="0" w:firstLine="480"/>
        <w:keepLines w:val="0"/>
        <w:keepNext w:val="0"/>
        <w:pageBreakBefore w:val="0"/>
        <w:widowControl w:val="off"/>
        <w:rPr>
          <w:rFonts w:hint="eastAsia" w:ascii="宋体" w:hAnsi="宋体" w:cs="宋体"/>
          <w:strike w:val="0"/>
          <w:color w:val="auto"/>
          <w:sz w:val="24"/>
          <w:szCs w:val="24"/>
          <w:highlight w:val="none"/>
          <w:u w:val="single"/>
          <w:lang w:eastAsia="zh-CN"/>
        </w:rPr>
      </w:pPr>
      <w:r>
        <w:rPr>
          <w:rFonts w:hint="eastAsia" w:ascii="宋体" w:hAnsi="宋体" w:cs="宋体"/>
          <w:strike w:val="0"/>
          <w:color w:val="auto"/>
          <w:sz w:val="24"/>
          <w:szCs w:val="24"/>
          <w:highlight w:val="none"/>
          <w:u w:val="single"/>
          <w:lang w:eastAsia="zh-CN"/>
        </w:rPr>
        <w:t xml:space="preserve">十三、关于符合本国产品标准的声明函</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四</w:t>
      </w:r>
      <w:r>
        <w:rPr>
          <w:rFonts w:hint="eastAsia" w:ascii="宋体" w:hAnsi="宋体" w:eastAsia="宋体" w:cs="宋体"/>
          <w:color w:val="auto"/>
          <w:sz w:val="24"/>
          <w:szCs w:val="24"/>
          <w:highlight w:val="none"/>
          <w:u w:val="single"/>
        </w:rPr>
        <w:t xml:space="preserve">、质疑函范本</w:t>
      </w:r>
      <w:r>
        <w:rPr>
          <w:rFonts w:hint="eastAsia" w:ascii="宋体" w:hAnsi="宋体" w:cs="宋体"/>
          <w:color w:val="auto"/>
          <w:sz w:val="24"/>
          <w:szCs w:val="24"/>
          <w:highlight w:val="none"/>
          <w:u w:val="single"/>
          <w:lang w:eastAsia="zh-CN"/>
        </w:rPr>
        <w:t xml:space="preserve">。</w:t>
      </w:r>
      <w:r/>
    </w:p>
    <w:p>
      <w:pPr>
        <w:pStyle w:val="9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近六个月中</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提供近六个月中任意一个月份（不含磋商响应文件递交当月）依法缴纳税收及缴纳社会保障资金的证明材料。供应商依法享受缓缴、免缴税收、社会保障资金的提供证明材料。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6"/>
        <w:ind w:left="0" w:firstLine="0"/>
        <w:rPr>
          <w:rFonts w:hint="eastAsia" w:ascii="宋体" w:hAnsi="宋体" w:eastAsia="宋体" w:cs="宋体"/>
          <w:i/>
          <w:iCs/>
          <w:color w:val="auto"/>
          <w:sz w:val="32"/>
          <w:szCs w:val="32"/>
          <w:highlight w:val="none"/>
          <w:u w:val="single"/>
        </w:rPr>
      </w:pPr>
      <w:r/>
      <w:bookmarkStart w:id="204" w:name="_Toc120614284"/>
      <w:r/>
      <w:r/>
    </w:p>
    <w:p>
      <w:pPr>
        <w:jc w:val="center"/>
        <w:rPr>
          <w:rFonts w:hint="eastAsia" w:ascii="宋体" w:hAnsi="宋体" w:eastAsia="宋体" w:cs="宋体"/>
          <w:color w:val="auto"/>
          <w:sz w:val="24"/>
          <w:szCs w:val="24"/>
          <w:highlight w:val="none"/>
        </w:rPr>
      </w:pPr>
      <w:r>
        <w:rPr>
          <w:rFonts w:hint="eastAsia" w:ascii="宋体" w:hAnsi="宋体" w:cs="宋体"/>
          <w:color w:val="auto"/>
          <w:sz w:val="32"/>
          <w:szCs w:val="32"/>
          <w:highlight w:val="none"/>
          <w:u w:val="single"/>
          <w:lang w:eastAsia="zh-CN"/>
        </w:rPr>
        <w:t xml:space="preserve">六</w:t>
      </w:r>
      <w:r>
        <w:rPr>
          <w:rFonts w:hint="eastAsia" w:ascii="宋体" w:hAnsi="宋体" w:eastAsia="宋体" w:cs="宋体"/>
          <w:color w:val="auto"/>
          <w:sz w:val="32"/>
          <w:szCs w:val="32"/>
          <w:highlight w:val="none"/>
          <w:u w:val="single"/>
        </w:rPr>
        <w:t xml:space="preserve">、法人授权书</w:t>
      </w:r>
      <w:bookmarkEnd w:id="204"/>
      <w:r/>
      <w:r/>
    </w:p>
    <w:p>
      <w:pPr>
        <w:jc w:val="center"/>
        <w:spacing w:line="400" w:lineRule="exact"/>
        <w:rPr>
          <w:rFonts w:hint="eastAsia" w:ascii="宋体" w:hAnsi="宋体" w:eastAsia="宋体" w:cs="宋体"/>
          <w:b/>
          <w:color w:val="auto"/>
          <w:sz w:val="44"/>
          <w:highlight w:val="none"/>
        </w:rPr>
      </w:pPr>
      <w:r/>
      <w:bookmarkStart w:id="205" w:name="_Hlt26955070"/>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__________________（</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名称）：</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本授权声明：（投标单位名称）（法定代表人姓名、职务）授权（被委托代理人姓名、职务）为我方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”项目投标活动的合法代表，以我方名义全权处理该项目有关投标、签订合同以及执行合同等一切事宜。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highlight w:val="none"/>
        </w:rPr>
        <w:t xml:space="preserve">签字：</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名称：（盖章）</w:t>
      </w:r>
      <w:r/>
    </w:p>
    <w:p>
      <w:pPr>
        <w:ind w:firstLine="480"/>
        <w:spacing w:line="4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日    期：</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一、上述证明文件在投标文件中附有代理人身份证复印件（身份证两面均应复印）时才能生效；</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文件均由投标人法定代表人签字的,</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文件中可不提供该附件的内容。</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三、扫描件与复印件具有同等效力。</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 ：</w:t>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1"/>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身份证正面复印件</w:t>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69" w:type="dxa"/>
            <w:vAlign w:val="top"/>
            <w:textDirection w:val="lrTb"/>
            <w:noWrap w:val="false"/>
          </w:tcPr>
          <w:p>
            <w:pPr>
              <w:pStyle w:val="906"/>
              <w:ind w:left="6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vAlign w:val="top"/>
            <w:textDirection w:val="lrTb"/>
            <w:noWrap w:val="false"/>
          </w:tcPr>
          <w:p>
            <w:pPr>
              <w:pStyle w:val="906"/>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06"/>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06"/>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身份证反面复印件</w:t>
            </w:r>
            <w:r/>
          </w:p>
          <w:p>
            <w:pPr>
              <w:pStyle w:val="906"/>
              <w:ind w:firstLine="162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color w:val="auto"/>
          <w:highlight w:val="none"/>
        </w:rPr>
        <w:br w:type="page" w:clear="all"/>
      </w:r>
      <w:r>
        <w:rPr>
          <w:rFonts w:hint="eastAsia" w:ascii="宋体" w:hAnsi="宋体" w:cs="宋体"/>
          <w:b/>
          <w:bCs/>
          <w:color w:val="auto"/>
          <w:sz w:val="32"/>
          <w:szCs w:val="32"/>
          <w:highlight w:val="none"/>
          <w:u w:val="single"/>
          <w:lang w:eastAsia="zh-CN"/>
        </w:rPr>
        <w:t xml:space="preserve">七</w:t>
      </w:r>
      <w:r>
        <w:rPr>
          <w:rFonts w:hint="eastAsia" w:ascii="宋体" w:hAnsi="宋体" w:eastAsia="宋体" w:cs="宋体"/>
          <w:b/>
          <w:bCs/>
          <w:color w:val="auto"/>
          <w:sz w:val="32"/>
          <w:szCs w:val="32"/>
          <w:highlight w:val="none"/>
          <w:u w:val="single"/>
        </w:rPr>
        <w:t xml:space="preserve">、磋商响应函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江苏经纬工程投资造价咨询事务所有限公司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rPr>
          <w:rFonts w:hint="eastAsia"/>
          <w:color w:val="auto"/>
          <w:highlight w:val="none"/>
        </w:rPr>
      </w:pPr>
      <w:r>
        <w:rPr>
          <w:rFonts w:hint="eastAsia"/>
          <w:color w:val="auto"/>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16"/>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16"/>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16"/>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73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2426"/>
        <w:gridCol w:w="3658"/>
      </w:tblGrid>
      <w:tr>
        <w:trPr>
          <w:tblCellSpacing w:w="15" w:type="dxa"/>
        </w:trPr>
        <w:tc>
          <w:tcPr>
            <w:tcW w:w="2386"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tcW w:w="2396"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tcW w:w="3568"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tcW w:w="2386"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tcW w:w="2396"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tcW w:w="3568"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w:fldChar w:fldCharType="begin"/>
            </w:r>
            <w:r>
              <w:rPr>
                <w:color w:val="auto"/>
              </w:rPr>
              <w:instrText xml:space="preserve"> CONTROL Forms.TextBox.1 \s  \* MERGEFORMAT</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695960" cy="23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8pt;height:18.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元</w:t>
            </w:r>
            <w:r/>
          </w:p>
        </w:tc>
      </w:tr>
      <w:tr>
        <w:trPr>
          <w:tblCellSpacing w:w="15" w:type="dxa"/>
        </w:trPr>
        <w:tc>
          <w:tcPr>
            <w:tcW w:w="2386"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tcW w:w="6039" w:type="dxa"/>
            <w:vAlign w:val="center"/>
            <w:textDirection w:val="lrTb"/>
            <w:noWrap w:val="false"/>
          </w:tcPr>
          <w:p>
            <w:pPr>
              <w:pStyle w:val="916"/>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1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0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、中小企业声明函（</w:t>
      </w:r>
      <w:r>
        <w:rPr>
          <w:rFonts w:hint="eastAsia" w:ascii="宋体" w:hAnsi="宋体" w:cs="宋体"/>
          <w:b/>
          <w:bCs/>
          <w:color w:val="auto"/>
          <w:sz w:val="32"/>
          <w:szCs w:val="32"/>
          <w:highlight w:val="none"/>
          <w:lang w:val="en-US" w:eastAsia="zh-CN"/>
        </w:rPr>
        <w:t xml:space="preserve">服务</w:t>
      </w:r>
      <w:r>
        <w:rPr>
          <w:rFonts w:hint="eastAsia" w:ascii="宋体" w:hAnsi="宋体" w:eastAsia="宋体" w:cs="宋体"/>
          <w:b/>
          <w:bCs/>
          <w:color w:val="auto"/>
          <w:sz w:val="32"/>
          <w:szCs w:val="32"/>
          <w:highlight w:val="none"/>
        </w:rPr>
        <w:t xml:space="preserve">）</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ind w:firstLine="48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w:t>
      </w:r>
      <w:bookmarkStart w:id="206" w:name="OLE_LINK6"/>
      <w:r>
        <w:rPr>
          <w:rFonts w:hint="eastAsia" w:ascii="宋体" w:hAnsi="宋体" w:eastAsia="宋体" w:cs="宋体"/>
          <w:color w:val="auto"/>
          <w:sz w:val="24"/>
          <w:szCs w:val="24"/>
          <w:highlight w:val="none"/>
        </w:rPr>
        <w:t xml:space="preserve">本项目所属行业为</w:t>
      </w:r>
      <w:r>
        <w:rPr>
          <w:rFonts w:hint="eastAsia" w:ascii="宋体" w:hAnsi="宋体" w:eastAsia="宋体" w:cs="宋体"/>
          <w:b/>
          <w:bCs/>
          <w:color w:val="auto"/>
          <w:sz w:val="24"/>
          <w:szCs w:val="24"/>
          <w:highlight w:val="none"/>
          <w:u w:val="single"/>
        </w:rPr>
        <w:t xml:space="preserve">其他未列明行业</w:t>
      </w:r>
      <w:bookmarkEnd w:id="206"/>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 </w:t>
      </w:r>
      <w:r>
        <w:rPr>
          <w:color w:val="auto"/>
          <w:highlight w:val="none"/>
        </w:rPr>
        <w:br w:type="page" w:clear="all"/>
      </w: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  是</w:t>
      </w:r>
      <w:r>
        <w:rPr>
          <w:rFonts w:hint="eastAsia" w:ascii="宋体" w:hAnsi="宋体" w:eastAsia="宋体" w:cs="宋体"/>
          <w:color w:val="auto"/>
          <w:sz w:val="24"/>
          <w:szCs w:val="24"/>
          <w:highlight w:val="none"/>
          <w:u w:val="single"/>
        </w:rPr>
        <w:t xml:space="preserve">/否  为</w:t>
      </w:r>
      <w:r>
        <w:rPr>
          <w:rFonts w:hint="eastAsia" w:ascii="宋体" w:hAnsi="宋体" w:eastAsia="宋体" w:cs="宋体"/>
          <w:color w:val="auto"/>
          <w:sz w:val="24"/>
          <w:szCs w:val="24"/>
          <w:highlight w:val="none"/>
        </w:rPr>
        <w:t xml:space="preserve">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7"/>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r>
      <w:r/>
    </w:p>
    <w:p>
      <w:pPr>
        <w:pStyle w:val="927"/>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cs="宋体"/>
          <w:b/>
          <w:bCs/>
          <w:color w:val="auto"/>
          <w:sz w:val="32"/>
          <w:szCs w:val="32"/>
          <w:highlight w:val="none"/>
          <w:lang w:val="en-US" w:eastAsia="zh-CN" w:bidi="ar-SA"/>
        </w:rPr>
        <w:t xml:space="preserve">九</w:t>
      </w:r>
      <w:r>
        <w:rPr>
          <w:rFonts w:hint="eastAsia" w:ascii="宋体" w:hAnsi="宋体" w:eastAsia="宋体" w:cs="宋体"/>
          <w:b/>
          <w:bCs/>
          <w:color w:val="auto"/>
          <w:sz w:val="32"/>
          <w:szCs w:val="32"/>
          <w:highlight w:val="none"/>
          <w:lang w:val="en-US" w:eastAsia="zh-CN" w:bidi="ar-SA"/>
        </w:rPr>
        <w:t xml:space="preserve">、</w:t>
      </w:r>
      <w:bookmarkEnd w:id="205"/>
      <w:r/>
      <w:bookmarkStart w:id="207" w:name="_格式2__法定代表人授权书"/>
      <w:r>
        <w:rPr>
          <w:rFonts w:hint="eastAsia" w:ascii="宋体" w:hAnsi="宋体" w:eastAsia="宋体" w:cs="宋体"/>
          <w:b/>
          <w:color w:val="auto"/>
          <w:sz w:val="30"/>
          <w:szCs w:val="30"/>
          <w:highlight w:val="none"/>
        </w:rPr>
        <w:t xml:space="preserve">商务及技术要求响应及偏离表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3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rPr>
          <w:rFonts w:hint="eastAsia" w:ascii="宋体" w:hAnsi="宋体" w:eastAsia="宋体" w:cs="宋体"/>
          <w:b/>
          <w:bCs/>
          <w:color w:val="auto"/>
          <w:sz w:val="24"/>
          <w:highlight w:val="none"/>
          <w:u w:val="none"/>
          <w:lang w:val="en-US" w:eastAsia="zh-CN"/>
        </w:rPr>
        <w:t xml:space="preserve">未注明或未填写任何内容的，视为全部响应。</w:t>
      </w:r>
      <w:r>
        <w:rPr>
          <w:rFonts w:hint="eastAsia" w:ascii="宋体" w:hAnsi="宋体" w:cs="宋体"/>
          <w:b/>
          <w:bCs/>
          <w:color w:val="auto"/>
          <w:sz w:val="24"/>
          <w:highlight w:val="none"/>
          <w:u w:val="none"/>
          <w:lang w:val="en-US" w:eastAsia="zh-CN"/>
        </w:rPr>
        <w:t xml:space="preserve">各投标单位技术和商务要求必须完全响应，不允许负偏离，如出现负偏离视为无效响应文件。</w:t>
      </w:r>
      <w:r/>
    </w:p>
    <w:p>
      <w:pPr>
        <w:pStyle w:val="928"/>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8"/>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8"/>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供应商全称</w:t>
      </w:r>
      <w:r>
        <w:rPr>
          <w:rFonts w:hint="eastAsia" w:ascii="宋体" w:hAnsi="宋体" w:eastAsia="宋体" w:cs="宋体"/>
          <w:color w:val="auto"/>
          <w:szCs w:val="24"/>
          <w:highlight w:val="none"/>
        </w:rPr>
        <w:t xml:space="preserve">（</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28"/>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28"/>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十、投标承诺书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）所提供的服务不低于采购文件要求的标准。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.对磋商文件中所提及的</w:t>
      </w:r>
      <w:r>
        <w:rPr>
          <w:rFonts w:hint="eastAsia" w:ascii="宋体" w:hAnsi="宋体" w:eastAsia="宋体" w:cs="宋体"/>
          <w:color w:val="auto"/>
          <w:sz w:val="24"/>
          <w:szCs w:val="24"/>
          <w:highlight w:val="none"/>
          <w:lang w:val="en-US" w:eastAsia="zh-CN"/>
        </w:rPr>
        <w:t xml:space="preserve">质量要求、服务要求、验收要求、售后服务要求等</w:t>
      </w:r>
      <w:r>
        <w:rPr>
          <w:rFonts w:hint="eastAsia" w:ascii="宋体" w:hAnsi="宋体" w:eastAsia="宋体" w:cs="宋体"/>
          <w:color w:val="auto"/>
          <w:sz w:val="24"/>
          <w:szCs w:val="24"/>
          <w:highlight w:val="none"/>
        </w:rPr>
        <w:t xml:space="preserve">条款，本公司（单位）承诺将严格按照条款要求执行。</w:t>
      </w:r>
      <w:r/>
    </w:p>
    <w:p>
      <w:pPr>
        <w:pStyle w:val="920"/>
        <w:ind w:right="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4</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其他承诺（供应商可自行增加）：……</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、按照评分办法应当递交的其他资料</w:t>
      </w:r>
      <w:bookmarkEnd w:id="207"/>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jc w:val="both"/>
        <w:spacing w:line="560" w:lineRule="exact"/>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十二、项目实施拟服务人员花名册</w:t>
      </w:r>
      <w:r/>
    </w:p>
    <w:p>
      <w:pPr>
        <w:numPr>
          <w:ilvl w:val="0"/>
          <w:numId w:val="0"/>
        </w:numPr>
        <w:jc w:val="both"/>
        <w:spacing w:line="560" w:lineRule="exact"/>
        <w:rPr>
          <w:rFonts w:hint="eastAsia" w:ascii="宋体" w:hAnsi="宋体" w:cs="宋体"/>
          <w:b/>
          <w:bCs/>
          <w:color w:val="auto"/>
          <w:sz w:val="32"/>
          <w:szCs w:val="32"/>
          <w:highlight w:val="none"/>
          <w:lang w:eastAsia="zh-CN"/>
        </w:rPr>
      </w:pPr>
      <w:r>
        <w:rPr>
          <w:rFonts w:hint="eastAsia" w:ascii="宋体" w:hAnsi="宋体" w:eastAsia="宋体" w:cs="宋体"/>
          <w:bCs/>
          <w:color w:val="auto"/>
          <w:sz w:val="24"/>
          <w:highlight w:val="none"/>
          <w:lang w:eastAsia="zh-CN"/>
        </w:rPr>
        <w:t xml:space="preserve">供应商须在响应文件中提供项目实施拟服务人员花名册、响应前连续</w:t>
      </w:r>
      <w:r>
        <w:rPr>
          <w:rFonts w:hint="eastAsia" w:ascii="宋体" w:hAnsi="宋体" w:cs="宋体"/>
          <w:bCs/>
          <w:color w:val="auto"/>
          <w:sz w:val="24"/>
          <w:highlight w:val="none"/>
          <w:lang w:val="en-US" w:eastAsia="zh-CN"/>
        </w:rPr>
        <w:t xml:space="preserve">六</w:t>
      </w:r>
      <w:r>
        <w:rPr>
          <w:rFonts w:hint="eastAsia" w:ascii="宋体" w:hAnsi="宋体" w:eastAsia="宋体" w:cs="宋体"/>
          <w:bCs/>
          <w:color w:val="auto"/>
          <w:sz w:val="24"/>
          <w:highlight w:val="none"/>
          <w:lang w:eastAsia="zh-CN"/>
        </w:rPr>
        <w:t xml:space="preserve">个月内任一月（不含响应当月）社保缴纳证明、身份证复印件，并加盖供应商公章。</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strike w:val="0"/>
          <w:color w:val="auto"/>
          <w:sz w:val="32"/>
          <w:szCs w:val="32"/>
          <w:highlight w:val="none"/>
          <w:lang w:eastAsia="zh-CN"/>
        </w:rPr>
      </w:pPr>
      <w:r>
        <w:rPr>
          <w:rFonts w:hint="eastAsia" w:ascii="宋体" w:hAnsi="宋体" w:cs="宋体"/>
          <w:b/>
          <w:bCs/>
          <w:strike w:val="0"/>
          <w:color w:val="auto"/>
          <w:sz w:val="32"/>
          <w:szCs w:val="32"/>
          <w:highlight w:val="none"/>
          <w:lang w:eastAsia="zh-CN"/>
        </w:rPr>
        <w:t xml:space="preserve">十三、关于符合本国产品标准的声明函</w:t>
      </w:r>
      <w:r/>
    </w:p>
    <w:p>
      <w:pPr>
        <w:pStyle w:val="749"/>
        <w:ind w:left="0" w:right="0"/>
        <w:jc w:val="center"/>
        <w:keepLines w:val="0"/>
        <w:keepNext w:val="0"/>
        <w:spacing w:before="15" w:beforeAutospacing="0" w:after="15" w:afterAutospacing="0"/>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trike w:val="0"/>
          <w:color w:val="auto"/>
          <w:highlight w:val="none"/>
        </w:rPr>
      </w:r>
      <w:r/>
    </w:p>
    <w:p>
      <w:pPr>
        <w:pStyle w:val="749"/>
        <w:ind w:left="0" w:firstLine="420"/>
        <w:keepLines w:val="0"/>
        <w:keepNext w:val="0"/>
        <w:spacing w:before="15" w:beforeAutospacing="0" w:after="15" w:afterAutospacing="0"/>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trike w:val="0"/>
          <w:color w:val="auto"/>
          <w:highlight w:val="none"/>
          <w:shd w:val="clear" w:color="auto" w:fill="ffffff"/>
        </w:rPr>
        <w:t xml:space="preserve"> </w:t>
      </w:r>
      <w:r/>
    </w:p>
    <w:p>
      <w:pPr>
        <w:pStyle w:val="749"/>
        <w:ind w:left="0" w:firstLine="420"/>
        <w:keepLines w:val="0"/>
        <w:keepNext w:val="0"/>
        <w:spacing w:before="0" w:beforeAutospacing="0" w:after="0" w:afterAutospacing="0" w:line="360" w:lineRule="auto"/>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left="0" w:firstLine="420"/>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1.</w:t>
      </w:r>
      <w:r>
        <w:rPr>
          <w:rFonts w:hint="eastAsia" w:ascii="宋体" w:hAnsi="宋体" w:eastAsia="宋体" w:cs="宋体"/>
          <w:strike w:val="0"/>
          <w:color w:val="auto"/>
          <w:sz w:val="24"/>
          <w:szCs w:val="24"/>
          <w:highlight w:val="none"/>
          <w:u w:val="single"/>
          <w:shd w:val="clear" w:color="auto" w:fill="ffffff"/>
        </w:rPr>
        <w:t xml:space="preserve">（产品名称1）</w:t>
      </w:r>
      <w:r>
        <w:rPr>
          <w:rFonts w:hint="eastAsia" w:ascii="宋体" w:hAnsi="宋体" w:eastAsia="宋体" w:cs="宋体"/>
          <w:strike w:val="0"/>
          <w:color w:val="auto"/>
          <w:sz w:val="24"/>
          <w:szCs w:val="24"/>
          <w:highlight w:val="none"/>
          <w:shd w:val="clear" w:color="auto" w:fill="ffffff"/>
          <w:vertAlign w:val="superscript"/>
        </w:rPr>
        <w:t xml:space="preserve">1</w:t>
      </w:r>
      <w:r>
        <w:rPr>
          <w:rFonts w:hint="eastAsia" w:ascii="宋体" w:hAnsi="宋体" w:eastAsia="宋体" w:cs="宋体"/>
          <w:strike w:val="0"/>
          <w:color w:val="auto"/>
          <w:sz w:val="24"/>
          <w:szCs w:val="24"/>
          <w:highlight w:val="none"/>
          <w:shd w:val="clear" w:color="auto" w:fill="ffffff"/>
        </w:rPr>
        <w:t xml:space="preserve">，生产厂为</w:t>
      </w:r>
      <w:r>
        <w:rPr>
          <w:rFonts w:hint="eastAsia" w:ascii="宋体" w:hAnsi="宋体" w:eastAsia="宋体" w:cs="宋体"/>
          <w:strike w:val="0"/>
          <w:color w:val="auto"/>
          <w:sz w:val="24"/>
          <w:szCs w:val="24"/>
          <w:highlight w:val="none"/>
          <w:u w:val="single"/>
          <w:shd w:val="clear" w:color="auto" w:fill="ffffff"/>
        </w:rPr>
        <w:t xml:space="preserve">（厂名）</w:t>
      </w:r>
      <w:r>
        <w:rPr>
          <w:rFonts w:hint="eastAsia" w:ascii="宋体" w:hAnsi="宋体" w:eastAsia="宋体" w:cs="宋体"/>
          <w:strike w:val="0"/>
          <w:color w:val="auto"/>
          <w:sz w:val="24"/>
          <w:szCs w:val="24"/>
          <w:highlight w:val="none"/>
          <w:shd w:val="clear" w:color="auto" w:fill="ffffff"/>
          <w:vertAlign w:val="superscript"/>
        </w:rPr>
        <w:t xml:space="preserve">2</w:t>
      </w:r>
      <w:r>
        <w:rPr>
          <w:rFonts w:hint="eastAsia" w:ascii="宋体" w:hAnsi="宋体" w:eastAsia="宋体" w:cs="宋体"/>
          <w:strike w:val="0"/>
          <w:color w:val="auto"/>
          <w:sz w:val="24"/>
          <w:szCs w:val="24"/>
          <w:highlight w:val="none"/>
          <w:shd w:val="clear" w:color="auto" w:fill="ffffff"/>
        </w:rPr>
        <w:t xml:space="preserve">，厂址为</w:t>
      </w:r>
      <w:r>
        <w:rPr>
          <w:rFonts w:hint="eastAsia" w:ascii="宋体" w:hAnsi="宋体" w:eastAsia="宋体" w:cs="宋体"/>
          <w:strike w:val="0"/>
          <w:color w:val="auto"/>
          <w:sz w:val="24"/>
          <w:szCs w:val="24"/>
          <w:highlight w:val="none"/>
          <w:u w:val="single"/>
          <w:shd w:val="clear" w:color="auto" w:fill="ffffff"/>
        </w:rPr>
        <w:t xml:space="preserve">（生产厂址）</w:t>
      </w:r>
      <w:r>
        <w:rPr>
          <w:rFonts w:hint="eastAsia" w:ascii="宋体" w:hAnsi="宋体" w:eastAsia="宋体" w:cs="宋体"/>
          <w:strike w:val="0"/>
          <w:color w:val="auto"/>
          <w:sz w:val="24"/>
          <w:szCs w:val="24"/>
          <w:highlight w:val="none"/>
          <w:shd w:val="clear" w:color="auto" w:fill="ffffff"/>
        </w:rPr>
        <w:t xml:space="preserve">。</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的中国境内生产的组件成本占比≥</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vertAlign w:val="superscript"/>
        </w:rPr>
        <w:t xml:space="preserve">3</w:t>
      </w:r>
      <w:r>
        <w:rPr>
          <w:rFonts w:hint="eastAsia" w:ascii="宋体" w:hAnsi="宋体" w:eastAsia="宋体" w:cs="宋体"/>
          <w:strike w:val="0"/>
          <w:color w:val="auto"/>
          <w:sz w:val="24"/>
          <w:szCs w:val="24"/>
          <w:highlight w:val="none"/>
          <w:shd w:val="clear" w:color="auto" w:fill="ffffff"/>
        </w:rPr>
        <w:t xml:space="preserve">。</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vertAlign w:val="superscript"/>
        </w:rPr>
        <w:t xml:space="preserve">4</w:t>
      </w:r>
      <w:r>
        <w:rPr>
          <w:rFonts w:hint="eastAsia" w:ascii="宋体" w:hAnsi="宋体" w:eastAsia="宋体" w:cs="宋体"/>
          <w:strike w:val="0"/>
          <w:color w:val="auto"/>
          <w:sz w:val="24"/>
          <w:szCs w:val="24"/>
          <w:highlight w:val="none"/>
          <w:shd w:val="clear" w:color="auto" w:fill="ffffff"/>
        </w:rPr>
        <w:t xml:space="preserve">在中国境内生产。</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vertAlign w:val="superscript"/>
        </w:rPr>
        <w:t xml:space="preserve">5</w:t>
      </w:r>
      <w:r>
        <w:rPr>
          <w:rFonts w:hint="eastAsia" w:ascii="宋体" w:hAnsi="宋体" w:eastAsia="宋体" w:cs="宋体"/>
          <w:strike w:val="0"/>
          <w:color w:val="auto"/>
          <w:sz w:val="24"/>
          <w:szCs w:val="24"/>
          <w:highlight w:val="none"/>
          <w:shd w:val="clear" w:color="auto" w:fill="ffffff"/>
        </w:rPr>
        <w:t xml:space="preserve">在中国境内完成。</w:t>
      </w:r>
      <w:r/>
    </w:p>
    <w:p>
      <w:pPr>
        <w:pStyle w:val="749"/>
        <w:ind w:left="0" w:firstLine="420"/>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2.</w:t>
      </w:r>
      <w:r>
        <w:rPr>
          <w:rFonts w:hint="eastAsia" w:ascii="宋体" w:hAnsi="宋体" w:eastAsia="宋体" w:cs="宋体"/>
          <w:strike w:val="0"/>
          <w:color w:val="auto"/>
          <w:sz w:val="24"/>
          <w:szCs w:val="24"/>
          <w:highlight w:val="none"/>
          <w:u w:val="single"/>
          <w:shd w:val="clear" w:color="auto" w:fill="ffffff"/>
        </w:rPr>
        <w:t xml:space="preserve">（产品名称2）</w:t>
      </w:r>
      <w:r>
        <w:rPr>
          <w:rFonts w:hint="eastAsia" w:ascii="宋体" w:hAnsi="宋体" w:eastAsia="宋体" w:cs="宋体"/>
          <w:strike w:val="0"/>
          <w:color w:val="auto"/>
          <w:sz w:val="24"/>
          <w:szCs w:val="24"/>
          <w:highlight w:val="none"/>
          <w:shd w:val="clear" w:color="auto" w:fill="ffffff"/>
        </w:rPr>
        <w:t xml:space="preserve">，生产厂为</w:t>
      </w:r>
      <w:r>
        <w:rPr>
          <w:rFonts w:hint="eastAsia" w:ascii="宋体" w:hAnsi="宋体" w:eastAsia="宋体" w:cs="宋体"/>
          <w:strike w:val="0"/>
          <w:color w:val="auto"/>
          <w:sz w:val="24"/>
          <w:szCs w:val="24"/>
          <w:highlight w:val="none"/>
          <w:u w:val="single"/>
          <w:shd w:val="clear" w:color="auto" w:fill="ffffff"/>
        </w:rPr>
        <w:t xml:space="preserve">（厂名）</w:t>
      </w:r>
      <w:r>
        <w:rPr>
          <w:rFonts w:hint="eastAsia" w:ascii="宋体" w:hAnsi="宋体" w:eastAsia="宋体" w:cs="宋体"/>
          <w:strike w:val="0"/>
          <w:color w:val="auto"/>
          <w:sz w:val="24"/>
          <w:szCs w:val="24"/>
          <w:highlight w:val="none"/>
          <w:shd w:val="clear" w:color="auto" w:fill="ffffff"/>
        </w:rPr>
        <w:t xml:space="preserve">，厂址为</w:t>
      </w:r>
      <w:r>
        <w:rPr>
          <w:rFonts w:hint="eastAsia" w:ascii="宋体" w:hAnsi="宋体" w:eastAsia="宋体" w:cs="宋体"/>
          <w:strike w:val="0"/>
          <w:color w:val="auto"/>
          <w:sz w:val="24"/>
          <w:szCs w:val="24"/>
          <w:highlight w:val="none"/>
          <w:u w:val="single"/>
          <w:shd w:val="clear" w:color="auto" w:fill="ffffff"/>
        </w:rPr>
        <w:t xml:space="preserve">（生产厂址）</w:t>
      </w:r>
      <w:r>
        <w:rPr>
          <w:rFonts w:hint="eastAsia" w:ascii="宋体" w:hAnsi="宋体" w:eastAsia="宋体" w:cs="宋体"/>
          <w:strike w:val="0"/>
          <w:color w:val="auto"/>
          <w:sz w:val="24"/>
          <w:szCs w:val="24"/>
          <w:highlight w:val="none"/>
          <w:shd w:val="clear" w:color="auto" w:fill="ffffff"/>
        </w:rPr>
        <w:t xml:space="preserve">。</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的中国境内生产的组件成本占比≥</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在中国境内生产。</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在中国境内完成。</w:t>
      </w:r>
      <w:r/>
    </w:p>
    <w:p>
      <w:pPr>
        <w:pStyle w:val="749"/>
        <w:ind w:left="0" w:firstLine="420"/>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w:t>
      </w:r>
      <w:r/>
    </w:p>
    <w:p>
      <w:pPr>
        <w:pStyle w:val="749"/>
        <w:ind w:left="0" w:firstLine="420"/>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本公司（单位）对上述声明内容的真实性负责。如有虚假，愿承担相应法律责任。</w:t>
      </w:r>
      <w:r/>
    </w:p>
    <w:p>
      <w:pPr>
        <w:pStyle w:val="749"/>
        <w:keepLines w:val="0"/>
        <w:keepNext w:val="0"/>
        <w:spacing w:before="30" w:beforeAutospacing="0" w:after="30" w:afterAutospacing="0" w:line="0" w:lineRule="atLeast"/>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trike w:val="0"/>
          <w:color w:val="auto"/>
          <w:highlight w:val="none"/>
          <w:shd w:val="clear" w:color="auto" w:fill="ffffff"/>
        </w:rPr>
        <w:t xml:space="preserve"> </w:t>
      </w:r>
      <w:r/>
    </w:p>
    <w:p>
      <w:pPr>
        <w:pStyle w:val="749"/>
        <w:jc w:val="right"/>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   公司（单位）名称（加盖CA电子公章）：         </w:t>
      </w:r>
      <w:r/>
    </w:p>
    <w:p>
      <w:pPr>
        <w:pStyle w:val="749"/>
        <w:jc w:val="center"/>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           日期：      年   月   日         </w:t>
      </w:r>
      <w:r/>
    </w:p>
    <w:p>
      <w:pPr>
        <w:pStyle w:val="749"/>
        <w:keepLines w:val="0"/>
        <w:keepNext w:val="0"/>
        <w:spacing w:before="30" w:beforeAutospacing="0" w:after="30" w:afterAutospacing="0" w:line="0" w:lineRule="atLeast"/>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trike w:val="0"/>
          <w:color w:val="auto"/>
          <w:highlight w:val="none"/>
          <w:shd w:val="clear" w:color="auto" w:fill="ffffff"/>
        </w:rPr>
        <w:t xml:space="preserve"> </w:t>
      </w:r>
      <w:r/>
    </w:p>
    <w:p>
      <w:pPr>
        <w:pStyle w:val="749"/>
        <w:keepLines w:val="0"/>
        <w:keepNext w:val="0"/>
        <w:spacing w:before="30" w:beforeAutospacing="0" w:after="30" w:afterAutospacing="0" w:line="0" w:lineRule="atLeast"/>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trike w:val="0"/>
          <w:color w:val="auto"/>
          <w:highlight w:val="none"/>
          <w:shd w:val="clear" w:color="auto" w:fill="ffffff"/>
        </w:rPr>
        <w:t xml:space="preserve"> </w:t>
      </w:r>
      <w:r/>
    </w:p>
    <w:p>
      <w:pPr>
        <w:pStyle w:val="749"/>
        <w:keepLines w:val="0"/>
        <w:keepNext w:val="0"/>
        <w:spacing w:before="30" w:beforeAutospacing="0" w:after="30" w:afterAutospacing="0" w:line="0" w:lineRule="atLeast"/>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_________________</w:t>
      </w:r>
      <w:r/>
    </w:p>
    <w:p>
      <w:pPr>
        <w:pStyle w:val="749"/>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1.产品如有型号，请在“产品名称”栏一并填写。</w:t>
      </w:r>
      <w:r/>
    </w:p>
    <w:p>
      <w:pPr>
        <w:pStyle w:val="749"/>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2.生产厂名与厂址应与生产厂营业执照载明的相关信息保持一致。</w:t>
      </w:r>
      <w:r/>
    </w:p>
    <w:p>
      <w:pPr>
        <w:pStyle w:val="749"/>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3.该产品的中国境内生产的组件成本占比相关要求实施前，“规定比例”栏可不填，下同。</w:t>
      </w:r>
      <w:r/>
    </w:p>
    <w:p>
      <w:pPr>
        <w:pStyle w:val="749"/>
        <w:keepLines w:val="0"/>
        <w:keepNext w:val="0"/>
        <w:spacing w:before="30" w:beforeAutospacing="0" w:after="30" w:afterAutospacing="0" w:line="360" w:lineRule="auto"/>
        <w:shd w:val="clear" w:color="auto" w:fill="ffffff"/>
        <w:widowControl/>
        <w:rPr>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4.该产品的关键组件要求实施前，“关键组件”栏可不填，下同。</w:t>
      </w:r>
      <w:r/>
    </w:p>
    <w:p>
      <w:pPr>
        <w:pStyle w:val="749"/>
        <w:keepLines w:val="0"/>
        <w:keepNext w:val="0"/>
        <w:spacing w:before="30" w:beforeAutospacing="0" w:after="30" w:afterAutospacing="0" w:line="360" w:lineRule="auto"/>
        <w:shd w:val="clear" w:color="auto" w:fill="ffffff"/>
        <w:widowControl/>
        <w:rPr>
          <w:rFonts w:hint="eastAsia" w:ascii="宋体" w:hAnsi="宋体" w:eastAsia="宋体" w:cs="宋体"/>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5.该产品的关键工序要求实施前，“关键工序”栏可不填，下同。</w:t>
      </w:r>
      <w:r/>
    </w:p>
    <w:p>
      <w:pPr>
        <w:pStyle w:val="749"/>
        <w:keepLines w:val="0"/>
        <w:keepNext w:val="0"/>
        <w:spacing w:before="30" w:beforeAutospacing="0" w:after="30" w:afterAutospacing="0" w:line="360" w:lineRule="auto"/>
        <w:shd w:val="clear" w:color="auto" w:fill="ffffff"/>
        <w:widowControl/>
        <w:rPr>
          <w:rFonts w:hint="eastAsia" w:ascii="宋体" w:hAnsi="宋体" w:eastAsia="宋体" w:cs="宋体"/>
          <w:b/>
          <w:bCs/>
          <w:strike w:val="0"/>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highlight w:val="none"/>
          <w:shd w:val="clear" w:color="auto" w:fill="ffffff"/>
        </w:rPr>
        <w:t xml:space="preserve">6.《声明函》中标注“</w:t>
      </w:r>
      <w:r>
        <w:rPr>
          <w:rFonts w:hint="eastAsia" w:ascii="宋体" w:hAnsi="宋体" w:eastAsia="宋体" w:cs="宋体"/>
          <w:strike w:val="0"/>
          <w:color w:val="auto"/>
          <w:sz w:val="24"/>
          <w:szCs w:val="24"/>
          <w:highlight w:val="none"/>
          <w:u w:val="single"/>
          <w:shd w:val="clear" w:color="auto" w:fill="ffffff"/>
        </w:rPr>
        <w:t xml:space="preserve">  /  </w:t>
      </w:r>
      <w:r>
        <w:rPr>
          <w:rFonts w:hint="eastAsia" w:ascii="宋体" w:hAnsi="宋体" w:eastAsia="宋体" w:cs="宋体"/>
          <w:strike w:val="0"/>
          <w:color w:val="auto"/>
          <w:sz w:val="24"/>
          <w:szCs w:val="24"/>
          <w:highlight w:val="none"/>
          <w:shd w:val="clear" w:color="auto" w:fill="ffffff"/>
        </w:rPr>
        <w:t xml:space="preserve">”的地方无需填写。</w:t>
      </w:r>
      <w:r/>
    </w:p>
    <w:p>
      <w:pPr>
        <w:jc w:val="both"/>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、质疑函范本</w:t>
      </w:r>
      <w:r/>
    </w:p>
    <w:p>
      <w:pPr>
        <w:spacing w:before="287"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              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3.质疑供应商对项目的某一分包进行质疑，质疑函中应列明具体分包号。</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7.按该表格填写，一式两份，并将该函和相关证据盖公章在规定的时间内分别送达采购人和采购代理机构。</w:t>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2"/>
      <w:footnotePr/>
      <w:endnotePr/>
      <w:type w:val="nextPage"/>
      <w:pgSz w:w="11906" w:h="16838" w:orient="portrait"/>
      <w:pgMar w:top="1429" w:right="1633" w:bottom="1440" w:left="1582"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Verdana">
    <w:panose1 w:val="020B0604030504040204"/>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-244475</wp:posOffset>
              </wp:positionV>
              <wp:extent cx="76200" cy="40005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wps:spPr>
                    <wps:txbx>
                      <w:txbxContent>
                        <w:p>
                          <w:pPr>
                            <w:pStyle w:val="914"/>
                            <w:tabs>
                              <w:tab w:val="clear" w:pos="4153" w:leader="none"/>
                              <w:tab w:val="clear" w:pos="8306" w:leader="none"/>
                            </w:tabs>
                            <w:rPr>
                              <w:rFonts w:hint="eastAsia"/>
                            </w:rPr>
                          </w:pPr>
                          <w:r>
                            <w:rPr>
                              <w:rFonts w:hint="eastAsia"/>
                            </w:rPr>
                          </w:r>
                          <w:r/>
                        </w:p>
                        <w:p>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2pt;mso-position-vertical:absolute;width:6.0pt;height:31.5pt;mso-wrap-distance-left:0.0pt;mso-wrap-distance-top:0.0pt;mso-wrap-distance-right:0.0pt;mso-wrap-distance-bottom:0.0pt;visibility:visible;" filled="f" stroked="f">
              <v:textbox inset="0,0,0,0">
                <w:txbxContent>
                  <w:p>
                    <w:pPr>
                      <w:pStyle w:val="91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2737485</wp:posOffset>
              </wp:positionH>
              <wp:positionV relativeFrom="paragraph">
                <wp:posOffset>-346710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isibility:visible;" filled="f" stroked="f">
              <v:textbox inset="0,0,0,0">
                <w:txbxContent>
                  <w:p>
                    <w:pPr>
                      <w:pStyle w:val="91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2717165</wp:posOffset>
              </wp:positionH>
              <wp:positionV relativeFrom="paragraph">
                <wp:posOffset>-115570</wp:posOffset>
              </wp:positionV>
              <wp:extent cx="320675" cy="39814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20675" cy="398145"/>
                      </a:xfrm>
                      <a:prstGeom prst="rect">
                        <a:avLst/>
                      </a:prstGeom>
                      <a:noFill/>
                      <a:ln>
                        <a:noFill/>
                      </a:ln>
                    </wps:spPr>
                    <wps:txbx>
                      <w:txbxContent>
                        <w:p>
                          <w:pPr>
                            <w:pStyle w:val="914"/>
                            <w:tabs>
                              <w:tab w:val="clear" w:pos="4153" w:leader="none"/>
                              <w:tab w:val="clear" w:pos="8306" w:leader="none"/>
                            </w:tabs>
                            <w:rPr>
                              <w:rFonts w:hint="eastAsia"/>
                            </w:rPr>
                          </w:pPr>
                          <w:r>
                            <w:fldChar w:fldCharType="begin"/>
                          </w:r>
                          <w:r>
                            <w:instrText xml:space="preserve"> PAGE  \* MERGEFORMAT </w:instrText>
                          </w:r>
                          <w:r>
                            <w:fldChar w:fldCharType="separate"/>
                          </w:r>
                          <w:r>
                            <w:t xml:space="preserve">64</w:t>
                          </w:r>
                          <w:r>
                            <w:fldChar w:fldCharType="end"/>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argin-left:213.9pt;mso-position-horizontal:absolute;mso-position-vertical-relative:text;margin-top:-9.1pt;mso-position-vertical:absolute;width:25.2pt;height:31.3pt;mso-wrap-distance-left:0.0pt;mso-wrap-distance-top:0.0pt;mso-wrap-distance-right:0.0pt;mso-wrap-distance-bottom:0.0pt;visibility:visible;" filled="f" stroked="f">
              <v:textbox inset="0,0,0,0">
                <w:txbxContent>
                  <w:p>
                    <w:pPr>
                      <w:pStyle w:val="914"/>
                      <w:tabs>
                        <w:tab w:val="clear" w:pos="4153" w:leader="none"/>
                        <w:tab w:val="clear" w:pos="8306" w:leader="none"/>
                      </w:tabs>
                      <w:rPr>
                        <w:rFonts w:hint="eastAsia"/>
                      </w:rPr>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31"/>
    <w:uiPriority w:val="0"/>
    <w:qFormat/>
    <w:pPr>
      <w:jc w:val="both"/>
      <w:widowControl w:val="off"/>
    </w:pPr>
    <w:rPr>
      <w:rFonts w:hint="default" w:ascii="等线" w:hAnsi="等线" w:eastAsia="宋体" w:cs="Arial"/>
      <w:sz w:val="21"/>
      <w:szCs w:val="22"/>
      <w:lang w:val="en-US" w:eastAsia="zh-CN" w:bidi="ar-SA"/>
    </w:rPr>
  </w:style>
  <w:style w:type="paragraph" w:styleId="721">
    <w:name w:val="Heading 1"/>
    <w:basedOn w:val="720"/>
    <w:next w:val="720"/>
    <w:link w:val="757"/>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58"/>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59"/>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1"/>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2"/>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4"/>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5"/>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right="0" w:firstLine="0"/>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next w:val="720"/>
    <w:uiPriority w:val="0"/>
    <w:qFormat/>
    <w:pPr>
      <w:spacing w:after="120"/>
    </w:pPr>
    <w:rPr>
      <w:szCs w:val="20"/>
    </w:rPr>
  </w:style>
  <w:style w:type="paragraph" w:styleId="735">
    <w:name w:val="toc 5"/>
    <w:basedOn w:val="720"/>
    <w:next w:val="720"/>
    <w:uiPriority w:val="39"/>
    <w:unhideWhenUsed/>
    <w:qFormat/>
    <w:pPr>
      <w:ind w:left="1134" w:right="0" w:firstLine="0"/>
      <w:spacing w:after="57"/>
    </w:pPr>
  </w:style>
  <w:style w:type="paragraph" w:styleId="736">
    <w:name w:val="toc 3"/>
    <w:basedOn w:val="720"/>
    <w:next w:val="720"/>
    <w:uiPriority w:val="39"/>
    <w:unhideWhenUsed/>
    <w:qFormat/>
    <w:pPr>
      <w:ind w:left="567" w:right="0" w:firstLine="0"/>
      <w:spacing w:after="57"/>
    </w:pPr>
  </w:style>
  <w:style w:type="paragraph" w:styleId="737">
    <w:name w:val="toc 8"/>
    <w:basedOn w:val="720"/>
    <w:next w:val="720"/>
    <w:uiPriority w:val="39"/>
    <w:unhideWhenUsed/>
    <w:qFormat/>
    <w:pPr>
      <w:ind w:left="1984" w:right="0" w:firstLine="0"/>
      <w:spacing w:after="57"/>
    </w:pPr>
  </w:style>
  <w:style w:type="paragraph" w:styleId="738">
    <w:name w:val="endnote text"/>
    <w:basedOn w:val="720"/>
    <w:link w:val="903"/>
    <w:uiPriority w:val="99"/>
    <w:semiHidden/>
    <w:unhideWhenUsed/>
    <w:qFormat/>
    <w:pPr>
      <w:spacing w:after="0" w:line="240" w:lineRule="auto"/>
    </w:pPr>
    <w:rPr>
      <w:sz w:val="20"/>
    </w:rPr>
  </w:style>
  <w:style w:type="paragraph" w:styleId="739">
    <w:name w:val="Footer"/>
    <w:basedOn w:val="720"/>
    <w:link w:val="776"/>
    <w:uiPriority w:val="99"/>
    <w:unhideWhenUsed/>
    <w:qFormat/>
    <w:pPr>
      <w:spacing w:after="0" w:line="240" w:lineRule="auto"/>
      <w:tabs>
        <w:tab w:val="center" w:pos="7143" w:leader="none"/>
        <w:tab w:val="right" w:pos="14287" w:leader="none"/>
      </w:tabs>
    </w:pPr>
  </w:style>
  <w:style w:type="paragraph" w:styleId="740">
    <w:name w:val="Header"/>
    <w:basedOn w:val="720"/>
    <w:link w:val="774"/>
    <w:uiPriority w:val="99"/>
    <w:unhideWhenUsed/>
    <w:qFormat/>
    <w:pPr>
      <w:spacing w:after="0" w:line="240" w:lineRule="auto"/>
      <w:tabs>
        <w:tab w:val="center" w:pos="7143" w:leader="none"/>
        <w:tab w:val="right" w:pos="14287" w:leader="none"/>
      </w:tabs>
    </w:pPr>
  </w:style>
  <w:style w:type="paragraph" w:styleId="741">
    <w:name w:val="toc 1"/>
    <w:basedOn w:val="720"/>
    <w:next w:val="720"/>
    <w:uiPriority w:val="39"/>
    <w:unhideWhenUsed/>
    <w:qFormat/>
    <w:pPr>
      <w:ind w:left="0" w:right="0" w:firstLine="0"/>
      <w:spacing w:after="57"/>
    </w:pPr>
  </w:style>
  <w:style w:type="paragraph" w:styleId="742">
    <w:name w:val="toc 4"/>
    <w:basedOn w:val="720"/>
    <w:next w:val="720"/>
    <w:uiPriority w:val="39"/>
    <w:unhideWhenUsed/>
    <w:qFormat/>
    <w:pPr>
      <w:ind w:left="850" w:right="0" w:firstLine="0"/>
      <w:spacing w:after="57"/>
    </w:pPr>
  </w:style>
  <w:style w:type="paragraph" w:styleId="743">
    <w:name w:val="Subtitle"/>
    <w:basedOn w:val="720"/>
    <w:next w:val="720"/>
    <w:link w:val="769"/>
    <w:uiPriority w:val="11"/>
    <w:qFormat/>
    <w:pPr>
      <w:spacing w:before="200" w:after="200"/>
    </w:pPr>
    <w:rPr>
      <w:sz w:val="24"/>
      <w:szCs w:val="24"/>
    </w:rPr>
  </w:style>
  <w:style w:type="paragraph" w:styleId="744">
    <w:name w:val="footnote text"/>
    <w:basedOn w:val="720"/>
    <w:link w:val="902"/>
    <w:uiPriority w:val="99"/>
    <w:semiHidden/>
    <w:unhideWhenUsed/>
    <w:qFormat/>
    <w:pPr>
      <w:spacing w:after="40" w:line="240" w:lineRule="auto"/>
    </w:pPr>
    <w:rPr>
      <w:sz w:val="18"/>
    </w:rPr>
  </w:style>
  <w:style w:type="paragraph" w:styleId="745">
    <w:name w:val="toc 6"/>
    <w:basedOn w:val="720"/>
    <w:next w:val="720"/>
    <w:uiPriority w:val="39"/>
    <w:unhideWhenUsed/>
    <w:qFormat/>
    <w:pPr>
      <w:ind w:left="1417" w:right="0" w:firstLine="0"/>
      <w:spacing w:after="57"/>
    </w:pPr>
  </w:style>
  <w:style w:type="paragraph" w:styleId="746">
    <w:name w:val="table of figures"/>
    <w:basedOn w:val="720"/>
    <w:next w:val="720"/>
    <w:uiPriority w:val="99"/>
    <w:unhideWhenUsed/>
    <w:qFormat/>
    <w:pPr>
      <w:spacing w:after="0" w:afterAutospacing="0"/>
    </w:pPr>
  </w:style>
  <w:style w:type="paragraph" w:styleId="747">
    <w:name w:val="toc 2"/>
    <w:basedOn w:val="720"/>
    <w:next w:val="720"/>
    <w:uiPriority w:val="39"/>
    <w:unhideWhenUsed/>
    <w:qFormat/>
    <w:pPr>
      <w:ind w:left="283" w:right="0" w:firstLine="0"/>
      <w:spacing w:after="57"/>
    </w:pPr>
  </w:style>
  <w:style w:type="paragraph" w:styleId="748">
    <w:name w:val="toc 9"/>
    <w:basedOn w:val="720"/>
    <w:next w:val="720"/>
    <w:uiPriority w:val="39"/>
    <w:unhideWhenUsed/>
    <w:qFormat/>
    <w:pPr>
      <w:ind w:left="2268" w:right="0" w:firstLine="0"/>
      <w:spacing w:after="57"/>
    </w:pPr>
  </w:style>
  <w:style w:type="paragraph" w:styleId="749">
    <w:name w:val="Normal (Web)"/>
    <w:basedOn w:val="720"/>
    <w:uiPriority w:val="0"/>
    <w:qFormat/>
    <w:pPr>
      <w:ind w:left="0" w:right="0"/>
      <w:jc w:val="left"/>
      <w:spacing w:before="0" w:beforeAutospacing="1" w:after="0" w:afterAutospacing="1"/>
    </w:pPr>
    <w:rPr>
      <w:sz w:val="24"/>
      <w:lang w:val="en-US" w:eastAsia="zh-CN" w:bidi="ar"/>
    </w:rPr>
  </w:style>
  <w:style w:type="paragraph" w:styleId="750">
    <w:name w:val="Title"/>
    <w:basedOn w:val="720"/>
    <w:next w:val="720"/>
    <w:link w:val="768"/>
    <w:uiPriority w:val="10"/>
    <w:qFormat/>
    <w:pPr>
      <w:contextualSpacing/>
      <w:spacing w:before="300" w:after="200"/>
    </w:pPr>
    <w:rPr>
      <w:sz w:val="48"/>
      <w:szCs w:val="48"/>
    </w:rPr>
  </w:style>
  <w:style w:type="paragraph" w:styleId="751">
    <w:name w:val="Body Text First Indent"/>
    <w:basedOn w:val="734"/>
    <w:next w:val="720"/>
    <w:uiPriority w:val="0"/>
    <w:qFormat/>
    <w:pPr>
      <w:ind w:firstLine="420"/>
    </w:pPr>
    <w:rPr>
      <w:rFonts w:ascii="Verdana" w:hAnsi="Verdana"/>
      <w:szCs w:val="28"/>
      <w:lang w:eastAsia="en-US"/>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paragraph" w:styleId="756" w:customStyle="1">
    <w:name w:val="列出段落1"/>
    <w:basedOn w:val="720"/>
    <w:uiPriority w:val="0"/>
    <w:qFormat/>
    <w:pPr>
      <w:ind w:firstLine="420"/>
    </w:pPr>
    <w:rPr>
      <w:rFonts w:ascii="Calibri" w:hAnsi="Calibri" w:cs="Times New Roman"/>
      <w:sz w:val="20"/>
      <w:szCs w:val="20"/>
    </w:rPr>
  </w:style>
  <w:style w:type="character" w:styleId="757" w:customStyle="1">
    <w:name w:val="Heading 1 Char"/>
    <w:link w:val="721"/>
    <w:uiPriority w:val="9"/>
    <w:qFormat/>
    <w:rPr>
      <w:rFonts w:ascii="Arial" w:hAnsi="Arial" w:eastAsia="Arial" w:cs="Arial"/>
      <w:sz w:val="40"/>
      <w:szCs w:val="40"/>
    </w:rPr>
  </w:style>
  <w:style w:type="character" w:styleId="758" w:customStyle="1">
    <w:name w:val="Heading 2 Char"/>
    <w:link w:val="722"/>
    <w:uiPriority w:val="9"/>
    <w:qFormat/>
    <w:rPr>
      <w:rFonts w:ascii="Arial" w:hAnsi="Arial" w:eastAsia="Arial" w:cs="Arial"/>
      <w:sz w:val="34"/>
    </w:rPr>
  </w:style>
  <w:style w:type="character" w:styleId="759" w:customStyle="1">
    <w:name w:val="Heading 3 Char"/>
    <w:link w:val="723"/>
    <w:uiPriority w:val="9"/>
    <w:qFormat/>
    <w:rPr>
      <w:rFonts w:ascii="Arial" w:hAnsi="Arial" w:eastAsia="Arial" w:cs="Arial"/>
      <w:sz w:val="30"/>
      <w:szCs w:val="30"/>
    </w:rPr>
  </w:style>
  <w:style w:type="character" w:styleId="760" w:customStyle="1">
    <w:name w:val="Heading 4 Char"/>
    <w:link w:val="724"/>
    <w:uiPriority w:val="9"/>
    <w:qFormat/>
    <w:rPr>
      <w:rFonts w:ascii="Arial" w:hAnsi="Arial" w:eastAsia="Arial" w:cs="Arial"/>
      <w:b/>
      <w:bCs/>
      <w:sz w:val="26"/>
      <w:szCs w:val="26"/>
    </w:rPr>
  </w:style>
  <w:style w:type="character" w:styleId="761" w:customStyle="1">
    <w:name w:val="Heading 5 Char"/>
    <w:link w:val="725"/>
    <w:uiPriority w:val="9"/>
    <w:qFormat/>
    <w:rPr>
      <w:rFonts w:ascii="Arial" w:hAnsi="Arial" w:eastAsia="Arial" w:cs="Arial"/>
      <w:b/>
      <w:bCs/>
      <w:sz w:val="24"/>
      <w:szCs w:val="24"/>
    </w:rPr>
  </w:style>
  <w:style w:type="character" w:styleId="762" w:customStyle="1">
    <w:name w:val="Heading 6 Char"/>
    <w:link w:val="726"/>
    <w:uiPriority w:val="9"/>
    <w:qFormat/>
    <w:rPr>
      <w:rFonts w:ascii="Arial" w:hAnsi="Arial" w:eastAsia="Arial" w:cs="Arial"/>
      <w:b/>
      <w:bCs/>
      <w:sz w:val="22"/>
      <w:szCs w:val="22"/>
    </w:rPr>
  </w:style>
  <w:style w:type="character" w:styleId="763" w:customStyle="1">
    <w:name w:val="Heading 7 Char"/>
    <w:link w:val="727"/>
    <w:uiPriority w:val="9"/>
    <w:qFormat/>
    <w:rPr>
      <w:rFonts w:ascii="Arial" w:hAnsi="Arial" w:eastAsia="Arial" w:cs="Arial"/>
      <w:b/>
      <w:bCs/>
      <w:i/>
      <w:iCs/>
      <w:sz w:val="22"/>
      <w:szCs w:val="22"/>
    </w:rPr>
  </w:style>
  <w:style w:type="character" w:styleId="764" w:customStyle="1">
    <w:name w:val="Heading 8 Char"/>
    <w:link w:val="728"/>
    <w:uiPriority w:val="9"/>
    <w:qFormat/>
    <w:rPr>
      <w:rFonts w:ascii="Arial" w:hAnsi="Arial" w:eastAsia="Arial" w:cs="Arial"/>
      <w:i/>
      <w:iCs/>
      <w:sz w:val="22"/>
      <w:szCs w:val="22"/>
    </w:rPr>
  </w:style>
  <w:style w:type="character" w:styleId="765" w:customStyle="1">
    <w:name w:val="Heading 9 Char"/>
    <w:link w:val="729"/>
    <w:uiPriority w:val="9"/>
    <w:qFormat/>
    <w:rPr>
      <w:rFonts w:ascii="Arial" w:hAnsi="Arial" w:eastAsia="Arial" w:cs="Arial"/>
      <w:i/>
      <w:iCs/>
      <w:sz w:val="21"/>
      <w:szCs w:val="21"/>
    </w:rPr>
  </w:style>
  <w:style w:type="paragraph" w:styleId="766">
    <w:name w:val="List Paragraph"/>
    <w:basedOn w:val="720"/>
    <w:uiPriority w:val="34"/>
    <w:qFormat/>
    <w:pPr>
      <w:contextualSpacing/>
      <w:ind w:left="720"/>
    </w:pPr>
  </w:style>
  <w:style w:type="paragraph" w:styleId="767">
    <w:name w:val="No Spacing"/>
    <w:uiPriority w:val="1"/>
    <w:qFormat/>
    <w:pPr>
      <w:spacing w:before="0" w:after="0" w:line="240" w:lineRule="auto"/>
    </w:pPr>
    <w:rPr>
      <w:rFonts w:hint="default" w:ascii="Calibri" w:hAnsi="Calibri" w:eastAsia="宋体" w:cs="Times New Roman"/>
    </w:rPr>
  </w:style>
  <w:style w:type="character" w:styleId="768" w:customStyle="1">
    <w:name w:val="Title Char"/>
    <w:link w:val="750"/>
    <w:uiPriority w:val="10"/>
    <w:qFormat/>
    <w:rPr>
      <w:sz w:val="48"/>
      <w:szCs w:val="48"/>
    </w:rPr>
  </w:style>
  <w:style w:type="character" w:styleId="769" w:customStyle="1">
    <w:name w:val="Subtitle Char"/>
    <w:link w:val="743"/>
    <w:uiPriority w:val="11"/>
    <w:qFormat/>
    <w:rPr>
      <w:sz w:val="24"/>
      <w:szCs w:val="24"/>
    </w:rPr>
  </w:style>
  <w:style w:type="paragraph" w:styleId="770">
    <w:name w:val="Quote"/>
    <w:basedOn w:val="720"/>
    <w:next w:val="720"/>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20"/>
    <w:next w:val="72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40"/>
    <w:uiPriority w:val="99"/>
    <w:qFormat/>
  </w:style>
  <w:style w:type="character" w:styleId="775" w:customStyle="1">
    <w:name w:val="Footer Char"/>
    <w:link w:val="739"/>
    <w:uiPriority w:val="99"/>
    <w:qFormat/>
  </w:style>
  <w:style w:type="character" w:styleId="776" w:customStyle="1">
    <w:name w:val="Caption Char"/>
    <w:link w:val="739"/>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4"/>
    <w:uiPriority w:val="99"/>
    <w:qFormat/>
    <w:rPr>
      <w:sz w:val="18"/>
    </w:rPr>
  </w:style>
  <w:style w:type="character" w:styleId="903" w:customStyle="1">
    <w:name w:val="Endnote Text Char"/>
    <w:link w:val="738"/>
    <w:uiPriority w:val="99"/>
    <w:qFormat/>
    <w:rPr>
      <w:sz w:val="20"/>
    </w:rPr>
  </w:style>
  <w:style w:type="paragraph" w:styleId="904" w:customStyle="1">
    <w:name w:val="TOC Heading"/>
    <w:uiPriority w:val="39"/>
    <w:unhideWhenUsed/>
    <w:qFormat/>
    <w:rPr>
      <w:rFonts w:hint="default" w:ascii="Calibri" w:hAnsi="Calibri" w:eastAsia="宋体" w:cs="Times New Roman"/>
    </w:rPr>
  </w:style>
  <w:style w:type="paragraph" w:styleId="905" w:customStyle="1">
    <w:name w:val="标题 41"/>
    <w:basedOn w:val="720"/>
    <w:next w:val="906"/>
    <w:uiPriority w:val="0"/>
    <w:qFormat/>
    <w:pPr>
      <w:keepLines/>
      <w:keepNext/>
      <w:spacing w:before="280" w:after="290" w:line="376" w:lineRule="auto"/>
      <w:outlineLvl w:val="3"/>
    </w:pPr>
    <w:rPr>
      <w:rFonts w:ascii="等线 Light" w:hAnsi="等线 Light" w:eastAsia="黑体"/>
      <w:b/>
      <w:bCs/>
      <w:sz w:val="28"/>
      <w:szCs w:val="28"/>
    </w:rPr>
  </w:style>
  <w:style w:type="paragraph" w:styleId="906" w:customStyle="1">
    <w:name w:val="正文缩进11"/>
    <w:basedOn w:val="720"/>
    <w:uiPriority w:val="0"/>
    <w:qFormat/>
    <w:pPr>
      <w:ind w:firstLine="420"/>
      <w:jc w:val="left"/>
    </w:pPr>
    <w:rPr>
      <w:rFonts w:ascii="Times New Roman" w:hAnsi="Times New Roman"/>
      <w:sz w:val="28"/>
      <w:szCs w:val="24"/>
    </w:rPr>
  </w:style>
  <w:style w:type="character" w:styleId="907" w:customStyle="1">
    <w:name w:val="默认段落字体1"/>
    <w:link w:val="720"/>
    <w:uiPriority w:val="0"/>
    <w:semiHidden/>
    <w:qFormat/>
  </w:style>
  <w:style w:type="table" w:styleId="908" w:customStyle="1">
    <w:name w:val="普通表格1"/>
    <w:uiPriority w:val="0"/>
    <w:semiHidden/>
    <w:qFormat/>
    <w:tblPr/>
  </w:style>
  <w:style w:type="paragraph" w:styleId="909" w:customStyle="1">
    <w:name w:val="目录 71"/>
    <w:basedOn w:val="720"/>
    <w:next w:val="720"/>
    <w:uiPriority w:val="39"/>
    <w:qFormat/>
    <w:pPr>
      <w:ind w:left="2520" w:firstLine="200"/>
      <w:jc w:val="left"/>
    </w:pPr>
    <w:rPr>
      <w:rFonts w:ascii="Calibri" w:hAnsi="Calibri" w:eastAsia="仿宋" w:cs="Times New Roman"/>
      <w:sz w:val="28"/>
    </w:rPr>
  </w:style>
  <w:style w:type="paragraph" w:styleId="910" w:customStyle="1">
    <w:name w:val="正文文本1"/>
    <w:basedOn w:val="720"/>
    <w:next w:val="911"/>
    <w:uiPriority w:val="0"/>
    <w:qFormat/>
    <w:pPr>
      <w:spacing w:after="120"/>
    </w:pPr>
    <w:rPr>
      <w:sz w:val="20"/>
      <w:szCs w:val="20"/>
    </w:rPr>
  </w:style>
  <w:style w:type="paragraph" w:styleId="911" w:customStyle="1">
    <w:name w:val="正文文本 21"/>
    <w:basedOn w:val="720"/>
    <w:uiPriority w:val="99"/>
    <w:qFormat/>
    <w:rPr>
      <w:rFonts w:eastAsia="仿宋_GB2312"/>
      <w:color w:val="000000"/>
    </w:rPr>
  </w:style>
  <w:style w:type="paragraph" w:styleId="912" w:customStyle="1">
    <w:name w:val="索引 41"/>
    <w:basedOn w:val="720"/>
    <w:next w:val="720"/>
    <w:uiPriority w:val="0"/>
    <w:semiHidden/>
    <w:qFormat/>
    <w:pPr>
      <w:ind w:left="1260"/>
    </w:pPr>
  </w:style>
  <w:style w:type="paragraph" w:styleId="913" w:customStyle="1">
    <w:name w:val="纯文本1"/>
    <w:basedOn w:val="720"/>
    <w:next w:val="906"/>
    <w:uiPriority w:val="0"/>
    <w:qFormat/>
    <w:pPr>
      <w:ind w:firstLine="200"/>
      <w:jc w:val="left"/>
      <w:spacing w:after="200" w:line="360" w:lineRule="auto"/>
      <w:widowControl/>
    </w:pPr>
    <w:rPr>
      <w:rFonts w:ascii="宋体" w:hAnsi="Courier New" w:eastAsia="仿宋"/>
      <w:sz w:val="24"/>
      <w:szCs w:val="20"/>
      <w:lang w:eastAsia="en-US"/>
    </w:rPr>
  </w:style>
  <w:style w:type="paragraph" w:styleId="914" w:customStyle="1">
    <w:name w:val="页脚1"/>
    <w:basedOn w:val="720"/>
    <w:uiPriority w:val="99"/>
    <w:qFormat/>
    <w:pPr>
      <w:jc w:val="left"/>
      <w:tabs>
        <w:tab w:val="center" w:pos="4153" w:leader="none"/>
        <w:tab w:val="right" w:pos="8306" w:leader="none"/>
      </w:tabs>
    </w:pPr>
    <w:rPr>
      <w:sz w:val="18"/>
      <w:szCs w:val="18"/>
    </w:rPr>
  </w:style>
  <w:style w:type="paragraph" w:styleId="915" w:customStyle="1">
    <w:name w:val="页眉1"/>
    <w:basedOn w:val="720"/>
    <w:uiPriority w:val="0"/>
    <w:qFormat/>
    <w:pPr>
      <w:jc w:val="center"/>
      <w:tabs>
        <w:tab w:val="center" w:pos="4153" w:leader="none"/>
        <w:tab w:val="right" w:pos="8306" w:leader="none"/>
      </w:tabs>
      <w:pBdr>
        <w:bottom w:val="single" w:color="000000" w:sz="6" w:space="1"/>
      </w:pBdr>
    </w:pPr>
    <w:rPr>
      <w:sz w:val="18"/>
      <w:szCs w:val="18"/>
    </w:rPr>
  </w:style>
  <w:style w:type="paragraph" w:styleId="916" w:customStyle="1">
    <w:name w:val="普通(网站)11"/>
    <w:basedOn w:val="720"/>
    <w:uiPriority w:val="99"/>
    <w:qFormat/>
    <w:pPr>
      <w:jc w:val="left"/>
      <w:spacing w:before="100" w:beforeAutospacing="1" w:after="100" w:afterAutospacing="1"/>
      <w:widowControl/>
    </w:pPr>
    <w:rPr>
      <w:rFonts w:ascii="宋体" w:hAnsi="宋体" w:cs="宋体"/>
      <w:sz w:val="24"/>
      <w:szCs w:val="24"/>
    </w:rPr>
  </w:style>
  <w:style w:type="paragraph" w:styleId="917" w:customStyle="1">
    <w:name w:val="正文首行缩进1"/>
    <w:basedOn w:val="910"/>
    <w:uiPriority w:val="0"/>
    <w:qFormat/>
    <w:pPr>
      <w:ind w:firstLine="420"/>
    </w:pPr>
    <w:rPr>
      <w:rFonts w:ascii="Verdana" w:hAnsi="Verdana"/>
      <w:szCs w:val="28"/>
      <w:lang w:eastAsia="en-US"/>
    </w:rPr>
  </w:style>
  <w:style w:type="paragraph" w:styleId="918" w:customStyle="1">
    <w:name w:val="段"/>
    <w:next w:val="720"/>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19" w:customStyle="1">
    <w:name w:val="WPSOffice手动目录 1"/>
    <w:uiPriority w:val="0"/>
    <w:qFormat/>
    <w:rPr>
      <w:rFonts w:hint="default" w:ascii="Times New Roman" w:hAnsi="Times New Roman" w:eastAsia="宋体" w:cs="Times New Roman"/>
      <w:lang w:val="en-US" w:eastAsia="zh-CN" w:bidi="ar-SA"/>
    </w:rPr>
  </w:style>
  <w:style w:type="paragraph" w:styleId="920" w:customStyle="1">
    <w:name w:val="DAS正文"/>
    <w:basedOn w:val="720"/>
    <w:uiPriority w:val="0"/>
    <w:qFormat/>
    <w:pPr>
      <w:ind w:right="181" w:firstLine="480"/>
      <w:spacing w:line="360" w:lineRule="auto"/>
    </w:pPr>
    <w:rPr>
      <w:rFonts w:ascii="Verdana" w:hAnsi="Verdana" w:cs="Times New Roman"/>
      <w:szCs w:val="24"/>
    </w:rPr>
  </w:style>
  <w:style w:type="paragraph" w:styleId="921" w:customStyle="1">
    <w:name w:val="正文文本缩进1"/>
    <w:basedOn w:val="720"/>
    <w:uiPriority w:val="0"/>
    <w:qFormat/>
    <w:pPr>
      <w:ind w:left="420" w:firstLine="420"/>
      <w:spacing w:line="240" w:lineRule="atLeast"/>
    </w:pPr>
    <w:rPr>
      <w:rFonts w:ascii="Times New Roman" w:hAnsi="Times New Roman" w:eastAsia="楷体_GB2312" w:cs="Times New Roman"/>
      <w:sz w:val="24"/>
      <w:szCs w:val="24"/>
    </w:rPr>
  </w:style>
  <w:style w:type="paragraph" w:styleId="922" w:customStyle="1">
    <w:name w:val="Comment Subject"/>
    <w:basedOn w:val="923"/>
    <w:next w:val="924"/>
    <w:uiPriority w:val="0"/>
    <w:qFormat/>
    <w:rPr>
      <w:b/>
      <w:bCs/>
    </w:rPr>
  </w:style>
  <w:style w:type="paragraph" w:styleId="923" w:customStyle="1">
    <w:name w:val="Comment Text"/>
    <w:basedOn w:val="720"/>
    <w:uiPriority w:val="0"/>
    <w:qFormat/>
    <w:pPr>
      <w:ind w:firstLine="200"/>
      <w:jc w:val="left"/>
    </w:pPr>
    <w:rPr>
      <w:rFonts w:ascii="Times New Roman" w:hAnsi="Times New Roman" w:eastAsia="仿宋"/>
      <w:sz w:val="28"/>
      <w:szCs w:val="24"/>
    </w:rPr>
  </w:style>
  <w:style w:type="paragraph" w:styleId="924" w:customStyle="1">
    <w:name w:val="Plain Text1"/>
    <w:basedOn w:val="720"/>
    <w:next w:val="909"/>
    <w:uiPriority w:val="0"/>
    <w:qFormat/>
    <w:pPr>
      <w:ind w:firstLine="3584"/>
      <w:spacing w:line="360" w:lineRule="auto"/>
    </w:pPr>
  </w:style>
  <w:style w:type="paragraph" w:styleId="925" w:customStyle="1">
    <w:name w:val="纯文本1111"/>
    <w:basedOn w:val="720"/>
    <w:next w:val="926"/>
    <w:uiPriority w:val="0"/>
    <w:unhideWhenUsed/>
    <w:qFormat/>
    <w:rPr>
      <w:rFonts w:ascii="宋体" w:hAnsi="Courier New"/>
    </w:rPr>
  </w:style>
  <w:style w:type="paragraph" w:styleId="926" w:customStyle="1">
    <w:name w:val="正文缩进1"/>
    <w:basedOn w:val="720"/>
    <w:uiPriority w:val="0"/>
    <w:qFormat/>
    <w:pPr>
      <w:ind w:firstLine="420"/>
    </w:pPr>
    <w:rPr>
      <w:rFonts w:ascii="Calibri" w:hAnsi="Calibri" w:cs="Times New Roman"/>
      <w:sz w:val="20"/>
      <w:szCs w:val="20"/>
    </w:rPr>
  </w:style>
  <w:style w:type="paragraph" w:styleId="927" w:customStyle="1">
    <w:name w:val="msonormal"/>
    <w:basedOn w:val="720"/>
    <w:uiPriority w:val="0"/>
    <w:qFormat/>
    <w:pPr>
      <w:jc w:val="left"/>
      <w:spacing w:before="100" w:beforeAutospacing="1" w:after="100" w:afterAutospacing="1"/>
      <w:widowControl/>
    </w:pPr>
    <w:rPr>
      <w:rFonts w:ascii="宋体" w:hAnsi="宋体" w:cs="宋体"/>
      <w:sz w:val="24"/>
      <w:szCs w:val="24"/>
    </w:rPr>
  </w:style>
  <w:style w:type="paragraph" w:styleId="928" w:customStyle="1">
    <w:name w:val="普通(网站)1"/>
    <w:basedOn w:val="720"/>
    <w:uiPriority w:val="0"/>
    <w:qFormat/>
    <w:pPr>
      <w:jc w:val="left"/>
      <w:spacing w:before="100" w:beforeAutospacing="1" w:after="100" w:afterAutospacing="1"/>
      <w:widowControl/>
    </w:pPr>
    <w:rPr>
      <w:rFonts w:ascii="宋体" w:hAnsi="宋体" w:cs="宋体"/>
      <w:sz w:val="24"/>
      <w:szCs w:val="24"/>
    </w:rPr>
  </w:style>
  <w:style w:type="character" w:styleId="929" w:customStyle="1">
    <w:name w:val="font51"/>
    <w:basedOn w:val="907"/>
    <w:link w:val="720"/>
    <w:uiPriority w:val="0"/>
    <w:qFormat/>
    <w:rPr>
      <w:rFonts w:hint="eastAsia" w:ascii="宋体" w:hAnsi="宋体" w:eastAsia="宋体" w:cs="宋体"/>
      <w:color w:val="000000"/>
      <w:sz w:val="18"/>
      <w:szCs w:val="18"/>
      <w:u w:val="none"/>
    </w:rPr>
  </w:style>
  <w:style w:type="character" w:styleId="930" w:customStyle="1">
    <w:name w:val="font41"/>
    <w:basedOn w:val="907"/>
    <w:link w:val="720"/>
    <w:uiPriority w:val="0"/>
    <w:qFormat/>
    <w:rPr>
      <w:rFonts w:hint="eastAsia" w:ascii="宋体" w:hAnsi="宋体" w:eastAsia="宋体" w:cs="宋体"/>
      <w:color w:val="000000"/>
      <w:sz w:val="18"/>
      <w:szCs w:val="18"/>
      <w:u w:val="none"/>
    </w:rPr>
  </w:style>
  <w:style w:type="character" w:styleId="931" w:customStyle="1">
    <w:name w:val="font21"/>
    <w:basedOn w:val="907"/>
    <w:link w:val="720"/>
    <w:uiPriority w:val="0"/>
    <w:qFormat/>
    <w:rPr>
      <w:rFonts w:hint="eastAsia" w:ascii="微软雅黑" w:hAnsi="微软雅黑" w:eastAsia="微软雅黑" w:cs="微软雅黑"/>
      <w:color w:val="000000"/>
      <w:sz w:val="20"/>
      <w:szCs w:val="20"/>
      <w:u w:val="none"/>
    </w:rPr>
  </w:style>
  <w:style w:type="character" w:styleId="932" w:customStyle="1">
    <w:name w:val="apple-style-span"/>
    <w:basedOn w:val="730"/>
    <w:uiPriority w:val="99"/>
    <w:qFormat/>
    <w:rPr>
      <w:rFonts w:cs="Times New Roman"/>
    </w:rPr>
  </w:style>
  <w:style w:type="numbering" w:styleId="9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萌琰</dc:creator>
  <cp:lastModifiedBy>杜昊</cp:lastModifiedBy>
  <cp:revision>3</cp:revision>
  <dcterms:created xsi:type="dcterms:W3CDTF">2022-01-19T08:02:00Z</dcterms:created>
  <dcterms:modified xsi:type="dcterms:W3CDTF">2026-08-13T09:03:02Z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eyJoZGlkIjoiYWRkMjRmZjMzMGFhYWZiODE5Y2QwMTk2MDQxZmVhOTYiLCJ1c2VySWQiOiIzOTU5OTY0NTkifQ==</vt:lpwstr>
  </property>
  <property fmtid="{D5CDD505-2E9C-101B-9397-08002B2CF9AE}" pid="3" name="KSOProductBuildVer">
    <vt:lpwstr>2052-12.1.0.28043</vt:lpwstr>
  </property>
  <property fmtid="{D5CDD505-2E9C-101B-9397-08002B2CF9AE}" pid="4" name="ICV">
    <vt:lpwstr>3C0335610F7A462D9CB1686624EC4A25_13</vt:lpwstr>
  </property>
</Properties>
</file>